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B7AA1" w14:textId="77777777" w:rsidR="00E54CE6" w:rsidRPr="00E532F9" w:rsidRDefault="0016202A">
      <w:pPr>
        <w:contextualSpacing/>
        <w:jc w:val="center"/>
        <w:rPr>
          <w:rFonts w:eastAsia="Calibri" w:cs="Times New Roman"/>
          <w:b/>
          <w:bCs/>
          <w:u w:val="single"/>
        </w:rPr>
      </w:pPr>
      <w:r>
        <w:rPr>
          <w:b/>
          <w:bCs/>
          <w:u w:val="single"/>
        </w:rPr>
        <w:t>CATEGORÍAS DEL FONDO DE INDEMNIZACIÓN CALIFICADO DE LOS CASOS DEL AGUA DE FLINT (FWC), PRESTACIONES PECUNIARIAS Y TABLA DE PRUEBAS EXIGIDAS (11/11/2020)</w:t>
      </w:r>
    </w:p>
    <w:p w14:paraId="2D8C4F7A" w14:textId="77777777" w:rsidR="00E54CE6" w:rsidRPr="00E532F9" w:rsidRDefault="00E54CE6">
      <w:pPr>
        <w:contextualSpacing/>
        <w:rPr>
          <w:rFonts w:eastAsia="Calibri" w:cs="Times New Roman"/>
          <w:b/>
          <w:bCs/>
          <w:u w:val="single"/>
        </w:rPr>
      </w:pPr>
    </w:p>
    <w:p w14:paraId="7AD1BEC1" w14:textId="77777777" w:rsidR="00E54CE6" w:rsidRPr="00E532F9" w:rsidRDefault="0016202A">
      <w:pPr>
        <w:numPr>
          <w:ilvl w:val="0"/>
          <w:numId w:val="3"/>
        </w:numPr>
        <w:contextualSpacing/>
        <w:rPr>
          <w:rFonts w:eastAsia="Calibri" w:cs="Times New Roman"/>
          <w:b/>
          <w:bCs/>
          <w:u w:val="single"/>
        </w:rPr>
      </w:pPr>
      <w:r>
        <w:rPr>
          <w:b/>
          <w:bCs/>
          <w:u w:val="single"/>
        </w:rPr>
        <w:t>Categorías de Indemnización para Niños (6 años o menos)</w:t>
      </w:r>
      <w:r w:rsidRPr="00E532F9">
        <w:rPr>
          <w:rFonts w:eastAsia="Calibri" w:cs="Times New Roman"/>
          <w:b/>
          <w:color w:val="0D0D0D"/>
          <w:sz w:val="24"/>
          <w:szCs w:val="24"/>
          <w:vertAlign w:val="superscript"/>
        </w:rPr>
        <w:footnoteReference w:id="1"/>
      </w:r>
    </w:p>
    <w:tbl>
      <w:tblPr>
        <w:tblStyle w:val="TableGrid1"/>
        <w:tblW w:w="0" w:type="auto"/>
        <w:tblLook w:val="04A0" w:firstRow="1" w:lastRow="0" w:firstColumn="1" w:lastColumn="0" w:noHBand="0" w:noVBand="1"/>
      </w:tblPr>
      <w:tblGrid>
        <w:gridCol w:w="4316"/>
        <w:gridCol w:w="4317"/>
        <w:gridCol w:w="4317"/>
      </w:tblGrid>
      <w:tr w:rsidR="00E54CE6" w:rsidRPr="00E532F9" w14:paraId="69ECC5CF" w14:textId="77777777">
        <w:tc>
          <w:tcPr>
            <w:tcW w:w="12950" w:type="dxa"/>
            <w:gridSpan w:val="3"/>
            <w:shd w:val="clear" w:color="auto" w:fill="FFF2CC"/>
          </w:tcPr>
          <w:p w14:paraId="5B8FDE3C" w14:textId="77777777" w:rsidR="00E54CE6" w:rsidRPr="00E532F9" w:rsidRDefault="0016202A">
            <w:pPr>
              <w:rPr>
                <w:rFonts w:eastAsia="Calibri" w:cs="Times New Roman"/>
                <w:b/>
                <w:bCs/>
                <w:sz w:val="24"/>
                <w:szCs w:val="24"/>
                <w:u w:val="single"/>
              </w:rPr>
            </w:pPr>
            <w:r>
              <w:rPr>
                <w:b/>
                <w:bCs/>
                <w:sz w:val="24"/>
                <w:szCs w:val="24"/>
                <w:u w:val="single"/>
              </w:rPr>
              <w:t>Explicación de las Prestaciones Pecuniarias</w:t>
            </w:r>
          </w:p>
          <w:p w14:paraId="394D81D5" w14:textId="77777777" w:rsidR="00E54CE6" w:rsidRPr="00E532F9" w:rsidRDefault="00E54CE6">
            <w:pPr>
              <w:rPr>
                <w:rFonts w:eastAsia="Calibri" w:cs="Times New Roman"/>
                <w:b/>
                <w:bCs/>
                <w:sz w:val="24"/>
                <w:szCs w:val="24"/>
                <w:u w:val="single"/>
              </w:rPr>
            </w:pPr>
          </w:p>
          <w:p w14:paraId="6D7AA0A4" w14:textId="77777777" w:rsidR="00E54CE6" w:rsidRPr="00E532F9" w:rsidRDefault="0016202A">
            <w:pPr>
              <w:numPr>
                <w:ilvl w:val="0"/>
                <w:numId w:val="8"/>
              </w:numPr>
              <w:contextualSpacing/>
              <w:jc w:val="both"/>
              <w:rPr>
                <w:rFonts w:eastAsia="Calibri" w:cs="Times New Roman"/>
                <w:sz w:val="24"/>
                <w:szCs w:val="24"/>
              </w:rPr>
            </w:pPr>
            <w:r>
              <w:rPr>
                <w:sz w:val="24"/>
                <w:szCs w:val="24"/>
              </w:rPr>
              <w:t>Los montos de la Prestación Pecuniaria para las Categorías de niños de 6 años o menos se indican como un factor de “x”.</w:t>
            </w:r>
          </w:p>
          <w:p w14:paraId="1471B2BC" w14:textId="77777777" w:rsidR="00E54CE6" w:rsidRPr="00E532F9" w:rsidRDefault="00E54CE6">
            <w:pPr>
              <w:jc w:val="both"/>
              <w:rPr>
                <w:rFonts w:eastAsia="Calibri" w:cs="Times New Roman"/>
                <w:sz w:val="24"/>
                <w:szCs w:val="24"/>
              </w:rPr>
            </w:pPr>
          </w:p>
          <w:p w14:paraId="68E29336" w14:textId="77777777" w:rsidR="00E54CE6" w:rsidRPr="00E532F9" w:rsidRDefault="0016202A">
            <w:pPr>
              <w:numPr>
                <w:ilvl w:val="0"/>
                <w:numId w:val="8"/>
              </w:numPr>
              <w:contextualSpacing/>
              <w:jc w:val="both"/>
              <w:rPr>
                <w:rFonts w:eastAsia="Calibri" w:cs="Times New Roman"/>
                <w:sz w:val="24"/>
                <w:szCs w:val="24"/>
              </w:rPr>
            </w:pPr>
            <w:r>
              <w:rPr>
                <w:sz w:val="24"/>
                <w:szCs w:val="24"/>
              </w:rPr>
              <w:t>Se asignará 64.5% del Fondo de Indemnización Calificado de los Casos del Agua de Flint al total de todas las Categorías “x”, tal como se describe en la nota al pie 1.</w:t>
            </w:r>
          </w:p>
          <w:p w14:paraId="5736724E" w14:textId="77777777" w:rsidR="00E54CE6" w:rsidRPr="00E532F9" w:rsidRDefault="00E54CE6">
            <w:pPr>
              <w:jc w:val="both"/>
              <w:rPr>
                <w:rFonts w:eastAsia="Calibri" w:cs="Times New Roman"/>
                <w:sz w:val="24"/>
                <w:szCs w:val="24"/>
              </w:rPr>
            </w:pPr>
          </w:p>
          <w:p w14:paraId="5ECC058F" w14:textId="77777777" w:rsidR="00E54CE6" w:rsidRPr="00E532F9" w:rsidRDefault="0016202A">
            <w:pPr>
              <w:numPr>
                <w:ilvl w:val="0"/>
                <w:numId w:val="8"/>
              </w:numPr>
              <w:contextualSpacing/>
              <w:jc w:val="both"/>
              <w:rPr>
                <w:rFonts w:eastAsia="Calibri" w:cs="Times New Roman"/>
              </w:rPr>
            </w:pPr>
            <w:r>
              <w:rPr>
                <w:sz w:val="24"/>
                <w:szCs w:val="24"/>
              </w:rPr>
              <w:lastRenderedPageBreak/>
              <w:t xml:space="preserve">El Administrador de Reclamaciones determinará el monto real de “x” en dólares después de procesar todas las Reclamaciones (a excepción de las Reclamaciones Futuras del Fondo de Indemnización </w:t>
            </w:r>
            <w:proofErr w:type="spellStart"/>
            <w:r>
              <w:rPr>
                <w:sz w:val="24"/>
                <w:szCs w:val="24"/>
              </w:rPr>
              <w:t>Subcalificado</w:t>
            </w:r>
            <w:proofErr w:type="spellEnd"/>
            <w:r>
              <w:rPr>
                <w:sz w:val="24"/>
                <w:szCs w:val="24"/>
              </w:rPr>
              <w:t xml:space="preserve"> para Menores de Edad), dado que “x” se basa en el número de Reclamantes que reciben las Prestaciones Pecuniarias en cada Categoría respectiva.</w:t>
            </w:r>
          </w:p>
          <w:p w14:paraId="53FE1604" w14:textId="77777777" w:rsidR="00E54CE6" w:rsidRPr="00E532F9" w:rsidRDefault="00E54CE6">
            <w:pPr>
              <w:pStyle w:val="ListParagraph"/>
              <w:jc w:val="both"/>
              <w:rPr>
                <w:rFonts w:eastAsia="Calibri" w:cs="Times New Roman"/>
              </w:rPr>
            </w:pPr>
          </w:p>
          <w:p w14:paraId="559F73D7" w14:textId="77777777" w:rsidR="00E54CE6" w:rsidRPr="00E532F9" w:rsidRDefault="0016202A">
            <w:pPr>
              <w:numPr>
                <w:ilvl w:val="0"/>
                <w:numId w:val="8"/>
              </w:numPr>
              <w:spacing w:after="240"/>
              <w:jc w:val="both"/>
              <w:rPr>
                <w:rFonts w:eastAsia="Calibri" w:cs="Times New Roman"/>
              </w:rPr>
            </w:pPr>
            <w:r>
              <w:rPr>
                <w:sz w:val="24"/>
                <w:szCs w:val="24"/>
              </w:rPr>
              <w:t>Si bien se pueden estimar los montos de la Prestación Pecuniaria sobre la base de “x” antes de que el Administrador de Reclamaciones procese efectivamente todas las Reclamaciones, serán solo estimaciones que están sujetas a un número de variables que no se pueden determinar hasta que se procesen todas las Reclamaciones. Por lo tanto, las Prestaciones Pecuniarias reales podrían variar significativamente de las estimaciones previas de tales prestaciones.</w:t>
            </w:r>
          </w:p>
          <w:p w14:paraId="612BD785" w14:textId="77777777" w:rsidR="00E54CE6" w:rsidRPr="00E532F9" w:rsidRDefault="0016202A">
            <w:pPr>
              <w:spacing w:after="240"/>
              <w:rPr>
                <w:rFonts w:eastAsia="Calibri" w:cs="Times New Roman"/>
                <w:b/>
                <w:bCs/>
                <w:sz w:val="24"/>
                <w:szCs w:val="24"/>
                <w:u w:val="single"/>
              </w:rPr>
            </w:pPr>
            <w:r>
              <w:rPr>
                <w:b/>
                <w:bCs/>
                <w:sz w:val="24"/>
                <w:szCs w:val="24"/>
                <w:u w:val="single"/>
              </w:rPr>
              <w:t>Definiciones</w:t>
            </w:r>
          </w:p>
          <w:p w14:paraId="69F7F00A" w14:textId="77777777" w:rsidR="00E54CE6" w:rsidRPr="00E532F9" w:rsidRDefault="0016202A">
            <w:pPr>
              <w:numPr>
                <w:ilvl w:val="0"/>
                <w:numId w:val="8"/>
              </w:numPr>
              <w:contextualSpacing/>
              <w:jc w:val="both"/>
              <w:rPr>
                <w:rFonts w:eastAsia="Calibri" w:cs="Times New Roman"/>
                <w:sz w:val="24"/>
                <w:szCs w:val="24"/>
              </w:rPr>
            </w:pPr>
            <w:r>
              <w:rPr>
                <w:sz w:val="24"/>
                <w:szCs w:val="24"/>
              </w:rPr>
              <w:t>“Primera exposición” se refiere a la fecha en la cual una persona ingirió o entró en contacto con el agua de Flint por primera vez.</w:t>
            </w:r>
          </w:p>
          <w:p w14:paraId="67C0B0F5" w14:textId="77777777" w:rsidR="00E54CE6" w:rsidRPr="00E532F9" w:rsidRDefault="00E54CE6">
            <w:pPr>
              <w:ind w:left="720"/>
              <w:contextualSpacing/>
              <w:jc w:val="both"/>
              <w:rPr>
                <w:rFonts w:eastAsia="Calibri" w:cs="Times New Roman"/>
                <w:sz w:val="24"/>
                <w:szCs w:val="24"/>
              </w:rPr>
            </w:pPr>
          </w:p>
          <w:p w14:paraId="66519479" w14:textId="77777777" w:rsidR="00E54CE6" w:rsidRPr="00E532F9" w:rsidRDefault="0016202A">
            <w:pPr>
              <w:numPr>
                <w:ilvl w:val="0"/>
                <w:numId w:val="8"/>
              </w:numPr>
              <w:contextualSpacing/>
              <w:jc w:val="both"/>
              <w:rPr>
                <w:rFonts w:eastAsia="Calibri" w:cs="Times New Roman"/>
                <w:sz w:val="24"/>
                <w:szCs w:val="24"/>
              </w:rPr>
            </w:pPr>
            <w:r>
              <w:rPr>
                <w:sz w:val="24"/>
                <w:szCs w:val="24"/>
              </w:rPr>
              <w:t>“Agua de Flint” se refiere al agua de la Planta de Tratamiento de Agua de Flint.</w:t>
            </w:r>
          </w:p>
          <w:p w14:paraId="62B9CE41" w14:textId="77777777" w:rsidR="00E54CE6" w:rsidRPr="00E532F9" w:rsidRDefault="00E54CE6">
            <w:pPr>
              <w:autoSpaceDE w:val="0"/>
              <w:autoSpaceDN w:val="0"/>
              <w:adjustRightInd w:val="0"/>
              <w:jc w:val="both"/>
              <w:rPr>
                <w:rFonts w:eastAsia="Calibri" w:cs="Times New Roman"/>
                <w:sz w:val="24"/>
                <w:szCs w:val="24"/>
              </w:rPr>
            </w:pPr>
          </w:p>
          <w:p w14:paraId="0D2A8DD3" w14:textId="77777777" w:rsidR="00E54CE6" w:rsidRPr="00E532F9" w:rsidRDefault="0016202A">
            <w:pPr>
              <w:numPr>
                <w:ilvl w:val="0"/>
                <w:numId w:val="8"/>
              </w:numPr>
              <w:autoSpaceDE w:val="0"/>
              <w:autoSpaceDN w:val="0"/>
              <w:adjustRightInd w:val="0"/>
              <w:contextualSpacing/>
              <w:jc w:val="both"/>
              <w:rPr>
                <w:rFonts w:eastAsia="Calibri" w:cs="Times New Roman"/>
                <w:sz w:val="24"/>
                <w:szCs w:val="24"/>
              </w:rPr>
            </w:pPr>
            <w:r>
              <w:rPr>
                <w:sz w:val="24"/>
                <w:szCs w:val="24"/>
              </w:rPr>
              <w:t>“Residió o habitó en Flint” se refiere a la ubicación o residencia legal de una persona en la cual dormía en forma regular en Flint, según se refleja en un registro médico u otro registro fidedigno.</w:t>
            </w:r>
          </w:p>
          <w:p w14:paraId="348F94F2" w14:textId="77777777" w:rsidR="00E54CE6" w:rsidRPr="00E532F9" w:rsidRDefault="00E54CE6">
            <w:pPr>
              <w:autoSpaceDE w:val="0"/>
              <w:autoSpaceDN w:val="0"/>
              <w:adjustRightInd w:val="0"/>
              <w:jc w:val="both"/>
              <w:rPr>
                <w:rFonts w:eastAsia="Calibri" w:cs="Times New Roman"/>
                <w:sz w:val="24"/>
                <w:szCs w:val="24"/>
              </w:rPr>
            </w:pPr>
          </w:p>
          <w:p w14:paraId="0351D1B9" w14:textId="77777777" w:rsidR="00E54CE6" w:rsidRPr="00E532F9" w:rsidRDefault="0016202A">
            <w:pPr>
              <w:numPr>
                <w:ilvl w:val="0"/>
                <w:numId w:val="8"/>
              </w:numPr>
              <w:autoSpaceDE w:val="0"/>
              <w:autoSpaceDN w:val="0"/>
              <w:adjustRightInd w:val="0"/>
              <w:contextualSpacing/>
              <w:jc w:val="both"/>
              <w:rPr>
                <w:rFonts w:eastAsia="Calibri" w:cs="Times New Roman"/>
                <w:sz w:val="24"/>
                <w:szCs w:val="24"/>
              </w:rPr>
            </w:pPr>
            <w:r>
              <w:rPr>
                <w:sz w:val="24"/>
                <w:szCs w:val="24"/>
              </w:rPr>
              <w:t>“Expuesto de alguna forma” se refiere a que una persona ingirió o entró en contacto con el Agua de Flint.</w:t>
            </w:r>
          </w:p>
          <w:p w14:paraId="74E75675" w14:textId="77777777" w:rsidR="00E54CE6" w:rsidRPr="00E532F9" w:rsidRDefault="00E54CE6">
            <w:pPr>
              <w:autoSpaceDE w:val="0"/>
              <w:autoSpaceDN w:val="0"/>
              <w:adjustRightInd w:val="0"/>
              <w:contextualSpacing/>
              <w:jc w:val="both"/>
              <w:rPr>
                <w:rFonts w:eastAsia="Calibri" w:cs="Times New Roman"/>
                <w:sz w:val="24"/>
                <w:szCs w:val="24"/>
              </w:rPr>
            </w:pPr>
          </w:p>
        </w:tc>
      </w:tr>
      <w:tr w:rsidR="00E54CE6" w:rsidRPr="00E532F9" w14:paraId="619CD9D8" w14:textId="77777777">
        <w:tc>
          <w:tcPr>
            <w:tcW w:w="12950" w:type="dxa"/>
            <w:gridSpan w:val="3"/>
            <w:shd w:val="clear" w:color="auto" w:fill="B4C6E7"/>
          </w:tcPr>
          <w:p w14:paraId="3B6D77FB" w14:textId="77777777" w:rsidR="00E54CE6" w:rsidRPr="00E532F9" w:rsidRDefault="00E54CE6">
            <w:pPr>
              <w:jc w:val="center"/>
              <w:rPr>
                <w:rFonts w:eastAsia="Calibri" w:cs="Times New Roman"/>
                <w:b/>
                <w:sz w:val="24"/>
                <w:szCs w:val="24"/>
                <w:u w:val="single"/>
              </w:rPr>
            </w:pPr>
          </w:p>
          <w:p w14:paraId="71A0B398" w14:textId="77777777" w:rsidR="00E54CE6" w:rsidRPr="00E532F9" w:rsidRDefault="0016202A">
            <w:pPr>
              <w:jc w:val="center"/>
              <w:rPr>
                <w:rFonts w:eastAsia="Calibri" w:cs="Times New Roman"/>
                <w:b/>
                <w:sz w:val="24"/>
                <w:szCs w:val="24"/>
                <w:u w:val="single"/>
              </w:rPr>
            </w:pPr>
            <w:r>
              <w:rPr>
                <w:b/>
                <w:caps/>
                <w:sz w:val="24"/>
                <w:szCs w:val="24"/>
                <w:u w:val="single"/>
              </w:rPr>
              <w:t>Categoría</w:t>
            </w:r>
            <w:r>
              <w:rPr>
                <w:b/>
                <w:sz w:val="24"/>
                <w:szCs w:val="24"/>
                <w:u w:val="single"/>
              </w:rPr>
              <w:t xml:space="preserve"> 1</w:t>
            </w:r>
          </w:p>
          <w:p w14:paraId="3D16BF23" w14:textId="77777777" w:rsidR="00E54CE6" w:rsidRPr="00E532F9" w:rsidRDefault="0016202A">
            <w:pPr>
              <w:jc w:val="center"/>
              <w:rPr>
                <w:rFonts w:eastAsia="Calibri" w:cs="Times New Roman"/>
                <w:sz w:val="24"/>
                <w:szCs w:val="24"/>
              </w:rPr>
            </w:pPr>
            <w:r>
              <w:rPr>
                <w:sz w:val="24"/>
                <w:szCs w:val="24"/>
                <w:u w:val="single"/>
              </w:rPr>
              <w:t>Niño, 6 años o menos</w:t>
            </w:r>
            <w:r>
              <w:rPr>
                <w:sz w:val="24"/>
                <w:szCs w:val="24"/>
              </w:rPr>
              <w:t>, nivel de plomo.</w:t>
            </w:r>
          </w:p>
          <w:p w14:paraId="2CAF715D" w14:textId="77777777" w:rsidR="00E54CE6" w:rsidRPr="00E532F9" w:rsidRDefault="00E54CE6">
            <w:pPr>
              <w:rPr>
                <w:rFonts w:eastAsia="Calibri" w:cs="Times New Roman"/>
                <w:b/>
                <w:color w:val="0D0D0D"/>
                <w:sz w:val="24"/>
                <w:szCs w:val="24"/>
                <w:u w:val="single"/>
              </w:rPr>
            </w:pPr>
          </w:p>
        </w:tc>
      </w:tr>
      <w:tr w:rsidR="00E54CE6" w:rsidRPr="00E532F9" w14:paraId="0BDF9F4D" w14:textId="77777777">
        <w:tc>
          <w:tcPr>
            <w:tcW w:w="4316" w:type="dxa"/>
          </w:tcPr>
          <w:p w14:paraId="595E243C" w14:textId="77777777" w:rsidR="00E54CE6" w:rsidRPr="00E532F9" w:rsidRDefault="0016202A">
            <w:pPr>
              <w:jc w:val="center"/>
              <w:rPr>
                <w:rFonts w:eastAsia="Calibri" w:cs="Times New Roman"/>
                <w:b/>
                <w:bCs/>
                <w:sz w:val="24"/>
                <w:szCs w:val="24"/>
                <w:u w:val="single"/>
              </w:rPr>
            </w:pPr>
            <w:r>
              <w:rPr>
                <w:b/>
                <w:bCs/>
                <w:sz w:val="24"/>
                <w:szCs w:val="24"/>
                <w:u w:val="single"/>
              </w:rPr>
              <w:t>Descripción de la Categoría</w:t>
            </w:r>
          </w:p>
          <w:p w14:paraId="0BA0F9CD" w14:textId="77777777" w:rsidR="00E54CE6" w:rsidRPr="00E532F9" w:rsidRDefault="00E54CE6">
            <w:pPr>
              <w:jc w:val="both"/>
              <w:rPr>
                <w:rFonts w:eastAsia="Calibri" w:cs="Times New Roman"/>
                <w:i/>
                <w:iCs/>
                <w:sz w:val="24"/>
                <w:szCs w:val="24"/>
              </w:rPr>
            </w:pPr>
          </w:p>
          <w:p w14:paraId="399BE572" w14:textId="77777777" w:rsidR="00E54CE6" w:rsidRPr="00E532F9" w:rsidRDefault="0016202A">
            <w:pPr>
              <w:jc w:val="both"/>
              <w:rPr>
                <w:rFonts w:eastAsia="Calibri" w:cs="Times New Roman"/>
                <w:b/>
                <w:iCs/>
                <w:sz w:val="24"/>
                <w:szCs w:val="24"/>
                <w:u w:val="single"/>
              </w:rPr>
            </w:pPr>
            <w:r>
              <w:rPr>
                <w:b/>
                <w:iCs/>
                <w:sz w:val="24"/>
                <w:szCs w:val="24"/>
                <w:u w:val="single"/>
              </w:rPr>
              <w:t>Nivel de Plomo</w:t>
            </w:r>
          </w:p>
          <w:p w14:paraId="2CBE1431" w14:textId="77777777" w:rsidR="00E54CE6" w:rsidRPr="00E532F9" w:rsidRDefault="0016202A">
            <w:pPr>
              <w:jc w:val="both"/>
              <w:rPr>
                <w:rFonts w:eastAsia="Calibri" w:cs="Times New Roman"/>
                <w:sz w:val="24"/>
                <w:szCs w:val="24"/>
              </w:rPr>
            </w:pPr>
            <w:r>
              <w:rPr>
                <w:sz w:val="24"/>
                <w:szCs w:val="24"/>
              </w:rPr>
              <w:t>Personas</w:t>
            </w:r>
            <w:r>
              <w:rPr>
                <w:iCs/>
                <w:sz w:val="24"/>
                <w:szCs w:val="24"/>
              </w:rPr>
              <w:t xml:space="preserve"> de 6 años o menos en el momento de la primera exposición quienes</w:t>
            </w:r>
            <w:r>
              <w:rPr>
                <w:sz w:val="24"/>
                <w:szCs w:val="24"/>
              </w:rPr>
              <w:t>:</w:t>
            </w:r>
          </w:p>
          <w:p w14:paraId="1319641C" w14:textId="77777777" w:rsidR="00E54CE6" w:rsidRPr="00E532F9" w:rsidRDefault="00E54CE6">
            <w:pPr>
              <w:jc w:val="both"/>
              <w:rPr>
                <w:rFonts w:eastAsia="Calibri" w:cs="Times New Roman"/>
                <w:sz w:val="24"/>
                <w:szCs w:val="24"/>
              </w:rPr>
            </w:pPr>
          </w:p>
          <w:p w14:paraId="50224483" w14:textId="77777777" w:rsidR="00E54CE6" w:rsidRPr="00E532F9" w:rsidRDefault="0016202A">
            <w:pPr>
              <w:jc w:val="both"/>
              <w:rPr>
                <w:rFonts w:eastAsia="Calibri" w:cs="Times New Roman"/>
                <w:b/>
                <w:bCs/>
                <w:sz w:val="24"/>
                <w:szCs w:val="24"/>
                <w:u w:val="single"/>
              </w:rPr>
            </w:pPr>
            <w:r>
              <w:rPr>
                <w:sz w:val="24"/>
                <w:szCs w:val="24"/>
              </w:rPr>
              <w:lastRenderedPageBreak/>
              <w:t xml:space="preserve">(1) Por al menos 21 días durante cualquier período de 30 días entre el 25 de abril de 2014 y el 31 de julio de 2016; </w:t>
            </w:r>
          </w:p>
          <w:p w14:paraId="4DAB3439" w14:textId="77777777" w:rsidR="00E54CE6" w:rsidRPr="00E532F9" w:rsidRDefault="00E54CE6">
            <w:pPr>
              <w:jc w:val="both"/>
              <w:rPr>
                <w:rFonts w:eastAsia="Calibri" w:cs="Times New Roman"/>
                <w:sz w:val="24"/>
                <w:szCs w:val="24"/>
              </w:rPr>
            </w:pPr>
          </w:p>
          <w:p w14:paraId="3BFF585B" w14:textId="77777777" w:rsidR="00E54CE6" w:rsidRPr="00E532F9" w:rsidRDefault="0016202A">
            <w:pPr>
              <w:jc w:val="both"/>
              <w:rPr>
                <w:rFonts w:eastAsia="Calibri" w:cs="Times New Roman"/>
                <w:b/>
                <w:sz w:val="24"/>
                <w:szCs w:val="24"/>
                <w:u w:val="single"/>
              </w:rPr>
            </w:pPr>
            <w:r>
              <w:rPr>
                <w:sz w:val="24"/>
                <w:szCs w:val="24"/>
              </w:rPr>
              <w:t xml:space="preserve">(2) Residieron, habitaron o asistieron a escuelas o guarderías de Flint, o estuvieron expuestas de alguna forma al agua de Flint; </w:t>
            </w:r>
            <w:r>
              <w:rPr>
                <w:b/>
                <w:sz w:val="24"/>
                <w:szCs w:val="24"/>
                <w:u w:val="single"/>
              </w:rPr>
              <w:t>y</w:t>
            </w:r>
          </w:p>
          <w:p w14:paraId="4DED793E" w14:textId="77777777" w:rsidR="00E54CE6" w:rsidRPr="00E532F9" w:rsidRDefault="00E54CE6">
            <w:pPr>
              <w:jc w:val="both"/>
              <w:rPr>
                <w:rFonts w:eastAsia="Calibri" w:cs="Times New Roman"/>
                <w:sz w:val="24"/>
                <w:szCs w:val="24"/>
              </w:rPr>
            </w:pPr>
          </w:p>
          <w:p w14:paraId="2A5125BA" w14:textId="77777777" w:rsidR="00E54CE6" w:rsidRPr="00E532F9" w:rsidRDefault="0016202A">
            <w:pPr>
              <w:jc w:val="both"/>
              <w:rPr>
                <w:rFonts w:eastAsia="Calibri" w:cs="Times New Roman"/>
                <w:sz w:val="24"/>
                <w:szCs w:val="24"/>
              </w:rPr>
            </w:pPr>
            <w:r>
              <w:rPr>
                <w:sz w:val="24"/>
                <w:szCs w:val="24"/>
              </w:rPr>
              <w:t xml:space="preserve">(3) Obtuvieron un resultado de 10.0 </w:t>
            </w:r>
            <w:proofErr w:type="spellStart"/>
            <w:r>
              <w:rPr>
                <w:sz w:val="24"/>
                <w:szCs w:val="24"/>
              </w:rPr>
              <w:t>mcg</w:t>
            </w:r>
            <w:proofErr w:type="spellEnd"/>
            <w:r>
              <w:rPr>
                <w:sz w:val="24"/>
                <w:szCs w:val="24"/>
              </w:rPr>
              <w:t>/</w:t>
            </w:r>
            <w:proofErr w:type="spellStart"/>
            <w:r>
              <w:rPr>
                <w:sz w:val="24"/>
                <w:szCs w:val="24"/>
              </w:rPr>
              <w:t>dL</w:t>
            </w:r>
            <w:proofErr w:type="spellEnd"/>
            <w:r>
              <w:rPr>
                <w:sz w:val="24"/>
                <w:szCs w:val="24"/>
              </w:rPr>
              <w:t xml:space="preserve"> o superior en una prueba de nivel de plomo en la sangre realizada entre el 16 de mayo de 2014 y el 31 de agosto de 2016; </w:t>
            </w:r>
            <w:r>
              <w:rPr>
                <w:b/>
                <w:sz w:val="24"/>
                <w:szCs w:val="24"/>
                <w:u w:val="single"/>
              </w:rPr>
              <w:t xml:space="preserve">o </w:t>
            </w:r>
            <w:r>
              <w:rPr>
                <w:sz w:val="24"/>
                <w:szCs w:val="24"/>
              </w:rPr>
              <w:t xml:space="preserve">un resultado de 10.0 </w:t>
            </w:r>
            <w:proofErr w:type="spellStart"/>
            <w:r>
              <w:rPr>
                <w:sz w:val="24"/>
                <w:szCs w:val="24"/>
              </w:rPr>
              <w:t>ug</w:t>
            </w:r>
            <w:proofErr w:type="spellEnd"/>
            <w:r>
              <w:rPr>
                <w:sz w:val="24"/>
                <w:szCs w:val="24"/>
              </w:rPr>
              <w:t>/G o superior en la prueba de cuantificación de plomo in vivo en los huesos de una persona realizada entre el 16 de mayo de 2014 y los 90 días posteriores a la fecha de la Orden de Aprobación Preliminar.</w:t>
            </w:r>
          </w:p>
          <w:p w14:paraId="0621211F" w14:textId="77777777" w:rsidR="00E54CE6" w:rsidRPr="00E532F9" w:rsidRDefault="00E54CE6">
            <w:pPr>
              <w:jc w:val="both"/>
              <w:rPr>
                <w:rFonts w:eastAsia="Calibri" w:cs="Times New Roman"/>
                <w:b/>
                <w:sz w:val="24"/>
                <w:szCs w:val="24"/>
              </w:rPr>
            </w:pPr>
          </w:p>
          <w:p w14:paraId="40005FDA" w14:textId="77777777" w:rsidR="00E54CE6" w:rsidRPr="00E532F9" w:rsidRDefault="00E54CE6">
            <w:pPr>
              <w:jc w:val="both"/>
              <w:rPr>
                <w:rFonts w:eastAsia="Calibri" w:cs="Times New Roman"/>
                <w:sz w:val="24"/>
                <w:szCs w:val="24"/>
              </w:rPr>
            </w:pPr>
          </w:p>
          <w:p w14:paraId="696A13DF" w14:textId="77777777" w:rsidR="00E54CE6" w:rsidRPr="00E532F9" w:rsidRDefault="00E54CE6">
            <w:pPr>
              <w:jc w:val="both"/>
              <w:rPr>
                <w:rFonts w:eastAsia="Calibri" w:cs="Times New Roman"/>
                <w:sz w:val="24"/>
                <w:szCs w:val="24"/>
              </w:rPr>
            </w:pPr>
          </w:p>
          <w:p w14:paraId="25893E83" w14:textId="77777777" w:rsidR="00E54CE6" w:rsidRPr="00E532F9" w:rsidRDefault="00E54CE6">
            <w:pPr>
              <w:jc w:val="both"/>
              <w:rPr>
                <w:rFonts w:eastAsia="Calibri" w:cs="Times New Roman"/>
                <w:sz w:val="24"/>
                <w:szCs w:val="24"/>
              </w:rPr>
            </w:pPr>
          </w:p>
          <w:p w14:paraId="1D2FDBAB" w14:textId="77777777" w:rsidR="00E54CE6" w:rsidRPr="00E532F9" w:rsidRDefault="00E54CE6">
            <w:pPr>
              <w:jc w:val="both"/>
              <w:rPr>
                <w:rFonts w:eastAsia="Calibri" w:cs="Times New Roman"/>
                <w:sz w:val="24"/>
                <w:szCs w:val="24"/>
              </w:rPr>
            </w:pPr>
          </w:p>
          <w:p w14:paraId="500AEBD0" w14:textId="77777777" w:rsidR="00E54CE6" w:rsidRPr="00E532F9" w:rsidRDefault="00E54CE6">
            <w:pPr>
              <w:jc w:val="both"/>
              <w:rPr>
                <w:rFonts w:eastAsia="Calibri" w:cs="Times New Roman"/>
                <w:sz w:val="24"/>
                <w:szCs w:val="24"/>
              </w:rPr>
            </w:pPr>
          </w:p>
          <w:p w14:paraId="4E056959" w14:textId="77777777" w:rsidR="00E54CE6" w:rsidRPr="00E532F9" w:rsidRDefault="00E54CE6">
            <w:pPr>
              <w:jc w:val="both"/>
              <w:rPr>
                <w:rFonts w:eastAsia="Calibri" w:cs="Times New Roman"/>
                <w:sz w:val="24"/>
                <w:szCs w:val="24"/>
              </w:rPr>
            </w:pPr>
          </w:p>
          <w:p w14:paraId="40A74C8E" w14:textId="77777777" w:rsidR="00E54CE6" w:rsidRPr="00E532F9" w:rsidRDefault="00E54CE6">
            <w:pPr>
              <w:jc w:val="both"/>
              <w:rPr>
                <w:rFonts w:eastAsia="Calibri" w:cs="Times New Roman"/>
                <w:sz w:val="24"/>
                <w:szCs w:val="24"/>
              </w:rPr>
            </w:pPr>
          </w:p>
        </w:tc>
        <w:tc>
          <w:tcPr>
            <w:tcW w:w="4317" w:type="dxa"/>
          </w:tcPr>
          <w:p w14:paraId="6D30B987" w14:textId="77777777" w:rsidR="00E54CE6" w:rsidRPr="00E532F9" w:rsidRDefault="0016202A">
            <w:pPr>
              <w:jc w:val="center"/>
              <w:rPr>
                <w:rFonts w:eastAsia="Calibri" w:cs="Times New Roman"/>
                <w:b/>
                <w:color w:val="0070C0"/>
                <w:sz w:val="24"/>
                <w:szCs w:val="24"/>
              </w:rPr>
            </w:pPr>
            <w:r>
              <w:rPr>
                <w:b/>
                <w:color w:val="0D0D0D"/>
                <w:sz w:val="24"/>
                <w:szCs w:val="24"/>
                <w:u w:val="single"/>
              </w:rPr>
              <w:lastRenderedPageBreak/>
              <w:t>Prestaciones Pecuniarias</w:t>
            </w:r>
          </w:p>
          <w:p w14:paraId="014A5700" w14:textId="77777777" w:rsidR="00E54CE6" w:rsidRPr="00E532F9" w:rsidRDefault="00E54CE6">
            <w:pPr>
              <w:jc w:val="center"/>
              <w:rPr>
                <w:rFonts w:eastAsia="Calibri" w:cs="Times New Roman"/>
                <w:b/>
                <w:color w:val="0070C0"/>
                <w:sz w:val="24"/>
                <w:szCs w:val="24"/>
              </w:rPr>
            </w:pPr>
          </w:p>
          <w:p w14:paraId="1BF83E4B" w14:textId="77777777" w:rsidR="00E54CE6" w:rsidRPr="00E532F9" w:rsidRDefault="0016202A">
            <w:pPr>
              <w:jc w:val="center"/>
              <w:rPr>
                <w:rFonts w:eastAsia="Calibri" w:cs="Times New Roman"/>
                <w:b/>
                <w:color w:val="0070C0"/>
                <w:sz w:val="24"/>
                <w:szCs w:val="24"/>
              </w:rPr>
            </w:pPr>
            <w:r>
              <w:rPr>
                <w:b/>
                <w:color w:val="0070C0"/>
                <w:sz w:val="24"/>
                <w:szCs w:val="24"/>
              </w:rPr>
              <w:t>2x</w:t>
            </w:r>
          </w:p>
          <w:p w14:paraId="1D7A8BEE" w14:textId="77777777" w:rsidR="00E54CE6" w:rsidRPr="00E532F9" w:rsidRDefault="00E54CE6">
            <w:pPr>
              <w:jc w:val="both"/>
              <w:rPr>
                <w:rFonts w:eastAsia="Calibri" w:cs="Times New Roman"/>
                <w:sz w:val="20"/>
                <w:szCs w:val="20"/>
              </w:rPr>
            </w:pPr>
          </w:p>
        </w:tc>
        <w:tc>
          <w:tcPr>
            <w:tcW w:w="4317" w:type="dxa"/>
          </w:tcPr>
          <w:p w14:paraId="0156EFC9" w14:textId="77777777" w:rsidR="00E54CE6" w:rsidRPr="00E532F9" w:rsidRDefault="0016202A">
            <w:pPr>
              <w:autoSpaceDE w:val="0"/>
              <w:autoSpaceDN w:val="0"/>
              <w:adjustRightInd w:val="0"/>
              <w:contextualSpacing/>
              <w:jc w:val="center"/>
              <w:rPr>
                <w:rFonts w:eastAsia="Calibri" w:cs="Times New Roman"/>
                <w:b/>
                <w:sz w:val="24"/>
                <w:szCs w:val="24"/>
                <w:u w:val="single"/>
              </w:rPr>
            </w:pPr>
            <w:r>
              <w:rPr>
                <w:b/>
                <w:color w:val="0D0D0D"/>
                <w:sz w:val="24"/>
                <w:szCs w:val="24"/>
                <w:u w:val="single"/>
              </w:rPr>
              <w:t>Pruebas Exigidas</w:t>
            </w:r>
          </w:p>
          <w:p w14:paraId="7F39A455" w14:textId="77777777" w:rsidR="00E54CE6" w:rsidRPr="00E532F9" w:rsidRDefault="00E54CE6">
            <w:pPr>
              <w:autoSpaceDE w:val="0"/>
              <w:autoSpaceDN w:val="0"/>
              <w:adjustRightInd w:val="0"/>
              <w:contextualSpacing/>
              <w:jc w:val="both"/>
              <w:rPr>
                <w:rFonts w:eastAsia="Calibri" w:cs="Times New Roman"/>
                <w:b/>
                <w:sz w:val="24"/>
                <w:szCs w:val="24"/>
                <w:u w:val="single"/>
              </w:rPr>
            </w:pPr>
          </w:p>
          <w:p w14:paraId="61623CD0" w14:textId="77777777" w:rsidR="00E54CE6" w:rsidRPr="00E532F9" w:rsidRDefault="0016202A">
            <w:pPr>
              <w:autoSpaceDE w:val="0"/>
              <w:autoSpaceDN w:val="0"/>
              <w:adjustRightInd w:val="0"/>
              <w:contextualSpacing/>
              <w:jc w:val="both"/>
              <w:rPr>
                <w:rFonts w:eastAsia="Calibri" w:cs="Times New Roman"/>
                <w:sz w:val="24"/>
                <w:szCs w:val="24"/>
              </w:rPr>
            </w:pPr>
            <w:r>
              <w:rPr>
                <w:b/>
                <w:sz w:val="24"/>
                <w:szCs w:val="24"/>
                <w:u w:val="single"/>
              </w:rPr>
              <w:t>Prueba de Plomo en la Sangre</w:t>
            </w:r>
            <w:r>
              <w:rPr>
                <w:b/>
                <w:sz w:val="24"/>
                <w:szCs w:val="24"/>
              </w:rPr>
              <w:t>:</w:t>
            </w:r>
            <w:r>
              <w:rPr>
                <w:sz w:val="24"/>
                <w:szCs w:val="24"/>
              </w:rPr>
              <w:t xml:space="preserve"> Prueba de plomo en sangre capilar o venosa realizada por un laboratorio clínico que cuenta con la certificación de las Enmiendas para Mejoras de los Laboratorios Clínicos (“CLIA”, por sus siglas en inglés) o del </w:t>
            </w:r>
            <w:r>
              <w:rPr>
                <w:sz w:val="24"/>
                <w:szCs w:val="24"/>
              </w:rPr>
              <w:lastRenderedPageBreak/>
              <w:t xml:space="preserve">Programa de Competencia en Múltiples Elementos y Plomo (“LAMP”, por sus siglas en inglés) y que haya sido realizada en el período comprendido entre el 16 de mayo de 2014 y el 31 de agosto de 2016. Los métodos de laboratorio calificados para determinar las concentraciones de plomo en la sangre son </w:t>
            </w:r>
            <w:r>
              <w:rPr>
                <w:sz w:val="24"/>
              </w:rPr>
              <w:t xml:space="preserve">espectroscopia de absorción atómica (AAS), espectrometría de masa con plasma acoplado inductivamente (ICP-MS), </w:t>
            </w:r>
            <w:r>
              <w:rPr>
                <w:sz w:val="24"/>
                <w:szCs w:val="24"/>
              </w:rPr>
              <w:t>espectrometría de absorción atómica de horno de grafito (GFAAS), espectroscopia atómica (AS) y voltamperometría de redisolución anódica (ASV).</w:t>
            </w:r>
          </w:p>
          <w:p w14:paraId="10C3E2CA" w14:textId="77777777" w:rsidR="00E54CE6" w:rsidRPr="00E532F9" w:rsidRDefault="00E54CE6">
            <w:pPr>
              <w:autoSpaceDE w:val="0"/>
              <w:autoSpaceDN w:val="0"/>
              <w:adjustRightInd w:val="0"/>
              <w:contextualSpacing/>
              <w:jc w:val="both"/>
              <w:rPr>
                <w:rFonts w:eastAsia="Calibri" w:cs="Times New Roman"/>
                <w:sz w:val="24"/>
                <w:szCs w:val="24"/>
              </w:rPr>
            </w:pPr>
          </w:p>
          <w:p w14:paraId="45E01016" w14:textId="77777777" w:rsidR="00E54CE6" w:rsidRPr="00E532F9" w:rsidRDefault="0016202A">
            <w:pPr>
              <w:autoSpaceDE w:val="0"/>
              <w:autoSpaceDN w:val="0"/>
              <w:adjustRightInd w:val="0"/>
              <w:contextualSpacing/>
              <w:jc w:val="both"/>
              <w:rPr>
                <w:rFonts w:eastAsia="Calibri" w:cs="Times New Roman"/>
                <w:sz w:val="24"/>
                <w:szCs w:val="24"/>
              </w:rPr>
            </w:pPr>
            <w:r>
              <w:rPr>
                <w:b/>
                <w:sz w:val="24"/>
                <w:szCs w:val="24"/>
                <w:u w:val="single"/>
              </w:rPr>
              <w:t>Prueba de Plomo en los Huesos</w:t>
            </w:r>
            <w:r>
              <w:rPr>
                <w:sz w:val="24"/>
                <w:szCs w:val="24"/>
              </w:rPr>
              <w:t xml:space="preserve">:  Prueba con un dispositivo de fluorescencia de rayos X (XRF) optimizado para medir el plomo en los huesos in vivo en seres humanos y realizar mediciones de plomo en huesos in vivo en los huesos.  La prueba debe haber sido realizada entre el 16 de mayo de 2014 y los 90 días posteriores a la fecha de la Orden de Aprobación Preliminar, salvo en el caso de los Futuros Reclamantes Menores de Edad a quienes no se aplicará la fecha en que concluye el período de 90 días posterior a la fecha de la Orden de Aprobación Preliminar, ya que no estarán sujetos a la restricción de la fecha límite.  Un médico (PhD o M.D.) certificado por la junta médica </w:t>
            </w:r>
            <w:r>
              <w:rPr>
                <w:sz w:val="24"/>
                <w:szCs w:val="24"/>
              </w:rPr>
              <w:lastRenderedPageBreak/>
              <w:t>correspondiente debe firmar y verificar los resultados de la prueba de los huesos por fluorescencia de rayos X (XRF) e indicar que la prueba está correctamente calibrada y los resultados son confiables y exactos.</w:t>
            </w:r>
          </w:p>
          <w:p w14:paraId="3FD5F861" w14:textId="77777777" w:rsidR="00E54CE6" w:rsidRPr="00E532F9" w:rsidRDefault="00E54CE6">
            <w:pPr>
              <w:autoSpaceDE w:val="0"/>
              <w:autoSpaceDN w:val="0"/>
              <w:adjustRightInd w:val="0"/>
              <w:contextualSpacing/>
              <w:jc w:val="both"/>
              <w:rPr>
                <w:rFonts w:eastAsia="Calibri" w:cs="Times New Roman"/>
                <w:sz w:val="24"/>
                <w:szCs w:val="24"/>
              </w:rPr>
            </w:pPr>
          </w:p>
          <w:p w14:paraId="0EA679A8" w14:textId="77777777" w:rsidR="00E54CE6" w:rsidRPr="00E532F9" w:rsidRDefault="0016202A">
            <w:pPr>
              <w:autoSpaceDE w:val="0"/>
              <w:autoSpaceDN w:val="0"/>
              <w:adjustRightInd w:val="0"/>
              <w:contextualSpacing/>
              <w:jc w:val="both"/>
              <w:rPr>
                <w:rFonts w:eastAsia="Calibri" w:cs="Times New Roman"/>
                <w:sz w:val="24"/>
                <w:szCs w:val="24"/>
              </w:rPr>
            </w:pPr>
            <w:r>
              <w:rPr>
                <w:sz w:val="24"/>
                <w:szCs w:val="24"/>
              </w:rPr>
              <w:t>Si la entidad que informa los resultados de la prueba indica que cualquiera de los resultados de las pruebas del nivel de plomo en los huesos o en la sangre que se describen anteriormente y que corresponden a una persona en particular es “inferior a” un valor numérico (es decir, 3.0, 5.0, 10.0); entonces, se considerará que el nivel de plomo obtenido corresponde a ese valor numérico.  Por ejemplo, se considerará que el resultado de una prueba informado como “inferior a 3.0” o “&lt;3.0” tiene un nivel de plomo de 3.0.</w:t>
            </w:r>
          </w:p>
          <w:p w14:paraId="6053DA03" w14:textId="77777777" w:rsidR="00E54CE6" w:rsidRPr="00E532F9" w:rsidRDefault="00E54CE6">
            <w:pPr>
              <w:autoSpaceDE w:val="0"/>
              <w:autoSpaceDN w:val="0"/>
              <w:adjustRightInd w:val="0"/>
              <w:contextualSpacing/>
              <w:jc w:val="both"/>
              <w:rPr>
                <w:rFonts w:eastAsia="Calibri" w:cs="Times New Roman"/>
                <w:sz w:val="24"/>
                <w:szCs w:val="24"/>
              </w:rPr>
            </w:pPr>
          </w:p>
        </w:tc>
      </w:tr>
      <w:tr w:rsidR="00E54CE6" w:rsidRPr="00E532F9" w14:paraId="5CD026EC" w14:textId="77777777">
        <w:tc>
          <w:tcPr>
            <w:tcW w:w="12950" w:type="dxa"/>
            <w:gridSpan w:val="3"/>
            <w:shd w:val="clear" w:color="auto" w:fill="B4C6E7"/>
          </w:tcPr>
          <w:p w14:paraId="1CEF0A44" w14:textId="77777777" w:rsidR="00E54CE6" w:rsidRPr="00E532F9" w:rsidRDefault="00E54CE6">
            <w:pPr>
              <w:jc w:val="center"/>
              <w:rPr>
                <w:rFonts w:eastAsia="Calibri" w:cs="Times New Roman"/>
                <w:b/>
                <w:sz w:val="24"/>
                <w:szCs w:val="24"/>
                <w:u w:val="single"/>
              </w:rPr>
            </w:pPr>
          </w:p>
          <w:p w14:paraId="19699C83" w14:textId="77777777" w:rsidR="00E54CE6" w:rsidRPr="00E532F9" w:rsidRDefault="0016202A">
            <w:pPr>
              <w:jc w:val="center"/>
              <w:rPr>
                <w:rFonts w:eastAsia="Calibri" w:cs="Times New Roman"/>
                <w:b/>
                <w:caps/>
                <w:sz w:val="24"/>
                <w:szCs w:val="24"/>
                <w:u w:val="single"/>
              </w:rPr>
            </w:pPr>
            <w:r>
              <w:rPr>
                <w:b/>
                <w:caps/>
                <w:sz w:val="24"/>
                <w:szCs w:val="24"/>
                <w:u w:val="single"/>
              </w:rPr>
              <w:t>Categoría 2</w:t>
            </w:r>
          </w:p>
          <w:p w14:paraId="03A5FDD9" w14:textId="77777777" w:rsidR="00E54CE6" w:rsidRPr="00E532F9" w:rsidRDefault="0016202A">
            <w:pPr>
              <w:jc w:val="center"/>
              <w:rPr>
                <w:rFonts w:eastAsia="Calibri" w:cs="Times New Roman"/>
                <w:sz w:val="24"/>
                <w:szCs w:val="24"/>
              </w:rPr>
            </w:pPr>
            <w:r>
              <w:rPr>
                <w:sz w:val="24"/>
                <w:szCs w:val="24"/>
                <w:u w:val="single"/>
              </w:rPr>
              <w:t>Niño, 6 años o menos</w:t>
            </w:r>
            <w:r>
              <w:rPr>
                <w:sz w:val="24"/>
                <w:szCs w:val="24"/>
              </w:rPr>
              <w:t>, nivel de plomo o déficit cognitivo.</w:t>
            </w:r>
          </w:p>
          <w:p w14:paraId="12082069" w14:textId="77777777" w:rsidR="00E54CE6" w:rsidRPr="00E532F9" w:rsidRDefault="00E54CE6">
            <w:pPr>
              <w:autoSpaceDE w:val="0"/>
              <w:autoSpaceDN w:val="0"/>
              <w:adjustRightInd w:val="0"/>
              <w:contextualSpacing/>
              <w:jc w:val="both"/>
              <w:rPr>
                <w:rFonts w:eastAsia="Calibri" w:cs="Times New Roman"/>
                <w:b/>
                <w:sz w:val="24"/>
                <w:szCs w:val="24"/>
                <w:u w:val="single"/>
              </w:rPr>
            </w:pPr>
          </w:p>
        </w:tc>
      </w:tr>
      <w:tr w:rsidR="00E54CE6" w:rsidRPr="00E532F9" w14:paraId="6DE70347" w14:textId="77777777" w:rsidTr="000E4C87">
        <w:trPr>
          <w:trHeight w:val="80"/>
        </w:trPr>
        <w:tc>
          <w:tcPr>
            <w:tcW w:w="4316" w:type="dxa"/>
          </w:tcPr>
          <w:p w14:paraId="38721037" w14:textId="77777777" w:rsidR="00E54CE6" w:rsidRPr="00E532F9" w:rsidRDefault="0016202A">
            <w:pPr>
              <w:jc w:val="center"/>
              <w:rPr>
                <w:rFonts w:eastAsia="Calibri" w:cs="Times New Roman"/>
                <w:b/>
                <w:color w:val="0D0D0D"/>
                <w:sz w:val="24"/>
                <w:szCs w:val="24"/>
                <w:u w:val="single"/>
              </w:rPr>
            </w:pPr>
            <w:r>
              <w:rPr>
                <w:b/>
                <w:color w:val="0D0D0D"/>
                <w:sz w:val="24"/>
                <w:szCs w:val="24"/>
                <w:u w:val="single"/>
              </w:rPr>
              <w:t xml:space="preserve">Descripción de la Categoría </w:t>
            </w:r>
          </w:p>
          <w:p w14:paraId="0AE4D7B7" w14:textId="77777777" w:rsidR="00E54CE6" w:rsidRPr="00E532F9" w:rsidRDefault="00E54CE6">
            <w:pPr>
              <w:jc w:val="center"/>
              <w:rPr>
                <w:rFonts w:eastAsia="Calibri" w:cs="Times New Roman"/>
                <w:i/>
                <w:iCs/>
                <w:sz w:val="24"/>
                <w:szCs w:val="24"/>
              </w:rPr>
            </w:pPr>
          </w:p>
          <w:p w14:paraId="083430C5" w14:textId="77777777" w:rsidR="00E54CE6" w:rsidRPr="00E532F9" w:rsidRDefault="0016202A">
            <w:pPr>
              <w:jc w:val="both"/>
              <w:rPr>
                <w:rFonts w:eastAsia="Calibri" w:cs="Times New Roman"/>
                <w:b/>
                <w:iCs/>
                <w:sz w:val="24"/>
                <w:szCs w:val="24"/>
                <w:u w:val="single"/>
              </w:rPr>
            </w:pPr>
            <w:r>
              <w:rPr>
                <w:b/>
                <w:iCs/>
                <w:sz w:val="24"/>
                <w:szCs w:val="24"/>
                <w:u w:val="single"/>
              </w:rPr>
              <w:t>Nivel de Plomo</w:t>
            </w:r>
          </w:p>
          <w:p w14:paraId="553FAC43" w14:textId="77777777" w:rsidR="00E54CE6" w:rsidRPr="00E532F9" w:rsidRDefault="0016202A">
            <w:pPr>
              <w:jc w:val="both"/>
              <w:rPr>
                <w:rFonts w:eastAsia="Calibri" w:cs="Times New Roman"/>
                <w:sz w:val="24"/>
                <w:szCs w:val="24"/>
              </w:rPr>
            </w:pPr>
            <w:r>
              <w:rPr>
                <w:sz w:val="24"/>
                <w:szCs w:val="24"/>
              </w:rPr>
              <w:t>Personas</w:t>
            </w:r>
            <w:r>
              <w:rPr>
                <w:iCs/>
                <w:sz w:val="24"/>
                <w:szCs w:val="24"/>
              </w:rPr>
              <w:t xml:space="preserve"> de 6 años o menos en el momento de la primera exposición quienes</w:t>
            </w:r>
            <w:r>
              <w:rPr>
                <w:sz w:val="24"/>
                <w:szCs w:val="24"/>
              </w:rPr>
              <w:t>:</w:t>
            </w:r>
          </w:p>
          <w:p w14:paraId="06C0771C" w14:textId="77777777" w:rsidR="00E54CE6" w:rsidRPr="00E532F9" w:rsidRDefault="00E54CE6">
            <w:pPr>
              <w:jc w:val="both"/>
              <w:rPr>
                <w:rFonts w:eastAsia="Calibri" w:cs="Times New Roman"/>
                <w:sz w:val="24"/>
                <w:szCs w:val="24"/>
              </w:rPr>
            </w:pPr>
          </w:p>
          <w:p w14:paraId="20A62ED0" w14:textId="77777777" w:rsidR="00E54CE6" w:rsidRPr="00E532F9" w:rsidRDefault="0016202A">
            <w:pPr>
              <w:numPr>
                <w:ilvl w:val="0"/>
                <w:numId w:val="1"/>
              </w:numPr>
              <w:contextualSpacing/>
              <w:jc w:val="both"/>
              <w:rPr>
                <w:rFonts w:eastAsia="Calibri" w:cs="Times New Roman"/>
                <w:sz w:val="24"/>
                <w:szCs w:val="24"/>
              </w:rPr>
            </w:pPr>
            <w:r>
              <w:rPr>
                <w:sz w:val="24"/>
                <w:szCs w:val="24"/>
              </w:rPr>
              <w:lastRenderedPageBreak/>
              <w:t>Por al menos 21 días durante cualquier período de 30 días entre el 25 de abril de 2014 y el 31 de julio de 2016;</w:t>
            </w:r>
          </w:p>
          <w:p w14:paraId="225E9989" w14:textId="77777777" w:rsidR="00E54CE6" w:rsidRPr="00E532F9" w:rsidRDefault="00E54CE6">
            <w:pPr>
              <w:ind w:left="360"/>
              <w:jc w:val="both"/>
              <w:rPr>
                <w:rFonts w:eastAsia="Calibri" w:cs="Times New Roman"/>
                <w:sz w:val="24"/>
                <w:szCs w:val="24"/>
              </w:rPr>
            </w:pPr>
          </w:p>
          <w:p w14:paraId="2234EA8C" w14:textId="77777777" w:rsidR="00E54CE6" w:rsidRPr="00E532F9" w:rsidRDefault="0016202A">
            <w:pPr>
              <w:numPr>
                <w:ilvl w:val="0"/>
                <w:numId w:val="1"/>
              </w:numPr>
              <w:contextualSpacing/>
              <w:jc w:val="both"/>
              <w:rPr>
                <w:rFonts w:eastAsia="Calibri" w:cs="Times New Roman"/>
                <w:sz w:val="24"/>
                <w:szCs w:val="24"/>
              </w:rPr>
            </w:pPr>
            <w:r>
              <w:rPr>
                <w:sz w:val="24"/>
                <w:szCs w:val="24"/>
              </w:rPr>
              <w:t xml:space="preserve">Residieron, habitaron o asistieron a escuelas o guarderías de Flint, o estuvieron expuestas de alguna forma al agua de Flint; </w:t>
            </w:r>
            <w:r>
              <w:rPr>
                <w:b/>
                <w:sz w:val="24"/>
                <w:szCs w:val="24"/>
                <w:u w:val="single"/>
              </w:rPr>
              <w:t>y</w:t>
            </w:r>
          </w:p>
          <w:p w14:paraId="6316C52A" w14:textId="77777777" w:rsidR="00E54CE6" w:rsidRPr="00E532F9" w:rsidRDefault="00E54CE6">
            <w:pPr>
              <w:contextualSpacing/>
              <w:jc w:val="both"/>
              <w:rPr>
                <w:rFonts w:eastAsia="Calibri" w:cs="Times New Roman"/>
                <w:sz w:val="24"/>
                <w:szCs w:val="24"/>
              </w:rPr>
            </w:pPr>
          </w:p>
          <w:p w14:paraId="7B96C0F5" w14:textId="77777777" w:rsidR="00E54CE6" w:rsidRPr="00E532F9" w:rsidRDefault="0016202A">
            <w:pPr>
              <w:jc w:val="both"/>
              <w:rPr>
                <w:rFonts w:eastAsia="Calibri" w:cs="Times New Roman"/>
                <w:sz w:val="24"/>
                <w:szCs w:val="24"/>
              </w:rPr>
            </w:pPr>
            <w:r>
              <w:rPr>
                <w:sz w:val="24"/>
                <w:szCs w:val="24"/>
              </w:rPr>
              <w:t xml:space="preserve">(3) Obtuvieron un resultado de o entre 5.0 y 9.9 </w:t>
            </w:r>
            <w:proofErr w:type="spellStart"/>
            <w:r>
              <w:rPr>
                <w:sz w:val="24"/>
                <w:szCs w:val="24"/>
              </w:rPr>
              <w:t>mcg</w:t>
            </w:r>
            <w:proofErr w:type="spellEnd"/>
            <w:r>
              <w:rPr>
                <w:sz w:val="24"/>
                <w:szCs w:val="24"/>
              </w:rPr>
              <w:t>/</w:t>
            </w:r>
            <w:proofErr w:type="spellStart"/>
            <w:r>
              <w:rPr>
                <w:sz w:val="24"/>
                <w:szCs w:val="24"/>
              </w:rPr>
              <w:t>dL</w:t>
            </w:r>
            <w:proofErr w:type="spellEnd"/>
            <w:r>
              <w:rPr>
                <w:sz w:val="24"/>
                <w:szCs w:val="24"/>
              </w:rPr>
              <w:t xml:space="preserve"> en una prueba de nivel de plomo en la sangre realizada entre el 16 de mayo de 2014 y el 31 de agosto de 2016; </w:t>
            </w:r>
            <w:r>
              <w:rPr>
                <w:b/>
                <w:sz w:val="24"/>
                <w:szCs w:val="24"/>
                <w:u w:val="single"/>
              </w:rPr>
              <w:t xml:space="preserve">o </w:t>
            </w:r>
            <w:r>
              <w:rPr>
                <w:sz w:val="24"/>
                <w:szCs w:val="24"/>
              </w:rPr>
              <w:t xml:space="preserve">un resultado de o entre 5.0 y 9.9 </w:t>
            </w:r>
            <w:proofErr w:type="spellStart"/>
            <w:r>
              <w:rPr>
                <w:sz w:val="24"/>
                <w:szCs w:val="24"/>
              </w:rPr>
              <w:t>ug</w:t>
            </w:r>
            <w:proofErr w:type="spellEnd"/>
            <w:r>
              <w:rPr>
                <w:sz w:val="24"/>
                <w:szCs w:val="24"/>
              </w:rPr>
              <w:t>/G en la prueba de cuantificación de plomo in vivo en los huesos de una persona realizada entre el 16 de mayo de 2014 y los 90 días posteriores a la fecha de la Orden de Aprobación Preliminar.</w:t>
            </w:r>
          </w:p>
          <w:p w14:paraId="61757C00" w14:textId="77777777" w:rsidR="00E54CE6" w:rsidRPr="00E532F9" w:rsidRDefault="00E54CE6">
            <w:pPr>
              <w:jc w:val="both"/>
              <w:rPr>
                <w:rFonts w:eastAsia="Calibri" w:cs="Times New Roman"/>
                <w:b/>
                <w:bCs/>
                <w:sz w:val="24"/>
                <w:szCs w:val="24"/>
                <w:u w:val="single"/>
              </w:rPr>
            </w:pPr>
          </w:p>
          <w:p w14:paraId="7322F5B9" w14:textId="77777777" w:rsidR="00E54CE6" w:rsidRPr="00E532F9" w:rsidRDefault="0016202A">
            <w:pPr>
              <w:jc w:val="both"/>
              <w:rPr>
                <w:rFonts w:eastAsia="Calibri" w:cs="Times New Roman"/>
                <w:b/>
                <w:bCs/>
                <w:sz w:val="24"/>
                <w:szCs w:val="24"/>
                <w:u w:val="single"/>
              </w:rPr>
            </w:pPr>
            <w:r>
              <w:rPr>
                <w:b/>
                <w:bCs/>
                <w:sz w:val="24"/>
                <w:szCs w:val="24"/>
                <w:u w:val="single"/>
              </w:rPr>
              <w:t>O</w:t>
            </w:r>
          </w:p>
          <w:p w14:paraId="1F399F5D" w14:textId="77777777" w:rsidR="00E54CE6" w:rsidRPr="00E532F9" w:rsidRDefault="00E54CE6">
            <w:pPr>
              <w:jc w:val="both"/>
              <w:rPr>
                <w:rFonts w:eastAsia="Calibri" w:cs="Times New Roman"/>
                <w:sz w:val="24"/>
                <w:szCs w:val="24"/>
              </w:rPr>
            </w:pPr>
          </w:p>
          <w:p w14:paraId="00A36EA8" w14:textId="77777777" w:rsidR="00E54CE6" w:rsidRPr="00E532F9" w:rsidRDefault="0016202A">
            <w:pPr>
              <w:jc w:val="both"/>
              <w:rPr>
                <w:rFonts w:eastAsia="Calibri" w:cs="Times New Roman"/>
                <w:b/>
                <w:sz w:val="24"/>
                <w:szCs w:val="24"/>
                <w:u w:val="single"/>
              </w:rPr>
            </w:pPr>
            <w:r>
              <w:rPr>
                <w:b/>
                <w:sz w:val="24"/>
                <w:szCs w:val="24"/>
                <w:u w:val="single"/>
              </w:rPr>
              <w:t>Déficit cognitivo:</w:t>
            </w:r>
          </w:p>
          <w:p w14:paraId="18D8DB88" w14:textId="77777777" w:rsidR="00E54CE6" w:rsidRPr="00E532F9" w:rsidRDefault="0016202A">
            <w:pPr>
              <w:jc w:val="both"/>
              <w:rPr>
                <w:rFonts w:eastAsia="Calibri" w:cs="Times New Roman"/>
                <w:sz w:val="24"/>
                <w:szCs w:val="24"/>
              </w:rPr>
            </w:pPr>
            <w:r>
              <w:rPr>
                <w:sz w:val="24"/>
                <w:szCs w:val="24"/>
              </w:rPr>
              <w:t>Personas</w:t>
            </w:r>
            <w:r>
              <w:rPr>
                <w:iCs/>
                <w:sz w:val="24"/>
                <w:szCs w:val="24"/>
              </w:rPr>
              <w:t xml:space="preserve"> de 6 años o menos en el momento de la primera exposición quienes</w:t>
            </w:r>
            <w:r>
              <w:rPr>
                <w:sz w:val="24"/>
                <w:szCs w:val="24"/>
              </w:rPr>
              <w:t>:</w:t>
            </w:r>
          </w:p>
          <w:p w14:paraId="526AA23C" w14:textId="77777777" w:rsidR="00E54CE6" w:rsidRPr="00E532F9" w:rsidRDefault="00E54CE6">
            <w:pPr>
              <w:jc w:val="both"/>
              <w:rPr>
                <w:rFonts w:eastAsia="Calibri" w:cs="Times New Roman"/>
                <w:sz w:val="24"/>
                <w:szCs w:val="24"/>
              </w:rPr>
            </w:pPr>
          </w:p>
          <w:p w14:paraId="5FDEB51E" w14:textId="77777777" w:rsidR="00E54CE6" w:rsidRPr="00E532F9" w:rsidRDefault="0016202A">
            <w:pPr>
              <w:spacing w:after="240"/>
              <w:jc w:val="both"/>
              <w:rPr>
                <w:rFonts w:eastAsia="Calibri" w:cs="Times New Roman"/>
                <w:sz w:val="24"/>
                <w:szCs w:val="24"/>
              </w:rPr>
            </w:pPr>
            <w:r>
              <w:rPr>
                <w:sz w:val="24"/>
                <w:szCs w:val="24"/>
              </w:rPr>
              <w:t>(1) Por al menos 21 días durante cualquier período de 30 días entre el 25 de abril de 2014 y el 31 de julio de 2016;</w:t>
            </w:r>
          </w:p>
          <w:p w14:paraId="7DD735D5" w14:textId="77777777" w:rsidR="00E54CE6" w:rsidRPr="00E532F9" w:rsidRDefault="0016202A">
            <w:pPr>
              <w:spacing w:after="240"/>
              <w:jc w:val="both"/>
              <w:rPr>
                <w:rFonts w:eastAsia="Calibri" w:cs="Times New Roman"/>
                <w:sz w:val="24"/>
                <w:szCs w:val="24"/>
              </w:rPr>
            </w:pPr>
            <w:r>
              <w:rPr>
                <w:sz w:val="24"/>
                <w:szCs w:val="24"/>
              </w:rPr>
              <w:t xml:space="preserve">(2) Residieron, habitaron o asistieron a escuelas o guarderías de Flint, o estuvieron </w:t>
            </w:r>
            <w:r>
              <w:rPr>
                <w:sz w:val="24"/>
                <w:szCs w:val="24"/>
              </w:rPr>
              <w:lastRenderedPageBreak/>
              <w:t xml:space="preserve">expuestas de alguna forma al agua de Flint; </w:t>
            </w:r>
            <w:r>
              <w:rPr>
                <w:b/>
                <w:sz w:val="24"/>
                <w:szCs w:val="24"/>
                <w:u w:val="single"/>
              </w:rPr>
              <w:t>y</w:t>
            </w:r>
          </w:p>
          <w:p w14:paraId="60F3E718" w14:textId="1BEC6415" w:rsidR="00E54CE6" w:rsidRPr="00BE39BF" w:rsidRDefault="0016202A" w:rsidP="00BE39BF">
            <w:pPr>
              <w:spacing w:after="240"/>
              <w:jc w:val="both"/>
              <w:rPr>
                <w:sz w:val="24"/>
                <w:szCs w:val="24"/>
              </w:rPr>
            </w:pPr>
            <w:r>
              <w:rPr>
                <w:sz w:val="24"/>
                <w:szCs w:val="24"/>
              </w:rPr>
              <w:t>(3) Cuentan con un informe que documenta la realización de una evaluación completa e individual con fecha posterior al 16 de mayo de 2014 a cargo de un equipo multidisciplinario de evaluación, el cual deberá incluir un pediatra y un neuropsicólogo certificados por las juntas médicas correspondientes. Dicho informe se sustenta en una batería de pruebas clínicas y científicamente validadas de evaluación neurocognitiva o neuropsicológica, incluida la Batería Automatizada de Pruebas Neuropsicológicas de Cambridge (“CANTAB”, por sus siglas en inglés), que determinan que la persona tiene una discapacidad cognitiva relacionada con el plomo, causada después del 16 de mayo de 2014 y que se define como: Discapacidad cognitiva manifestada durante el período de desarrollo de la persona de 6 años o menos, expuesta al agua de Flint durante dicho período, tal como se determina a través de las pruebas y la demostración de las siguientes características de comportamiento:  Una (i) tasa de desarrollo de desviaciones estándar de 2.0 o más por debajo de la media, según se determine a través de una evaluación del dominio de funcionamiento intelectual o (</w:t>
            </w:r>
            <w:proofErr w:type="spellStart"/>
            <w:r>
              <w:rPr>
                <w:sz w:val="24"/>
                <w:szCs w:val="24"/>
              </w:rPr>
              <w:t>ii</w:t>
            </w:r>
            <w:proofErr w:type="spellEnd"/>
            <w:r>
              <w:rPr>
                <w:sz w:val="24"/>
                <w:szCs w:val="24"/>
              </w:rPr>
              <w:t xml:space="preserve">) </w:t>
            </w:r>
            <w:r>
              <w:rPr>
                <w:sz w:val="24"/>
                <w:szCs w:val="24"/>
              </w:rPr>
              <w:lastRenderedPageBreak/>
              <w:t>puntuaciones aproximadamente dentro de los seis percentiles más bajos de una prueba estandarizada de lectura y aritmética (este requisito no se exigirá si la persona no tiene una edad, un grado o edad mental adecuados para la realización de pruebas formales o estandarizadas).  O bien, una demostración de cualquiera de las dos siguientes características de comportamiento: (</w:t>
            </w:r>
            <w:proofErr w:type="spellStart"/>
            <w:r>
              <w:rPr>
                <w:sz w:val="24"/>
                <w:szCs w:val="24"/>
              </w:rPr>
              <w:t>iii</w:t>
            </w:r>
            <w:proofErr w:type="spellEnd"/>
            <w:r>
              <w:rPr>
                <w:sz w:val="24"/>
                <w:szCs w:val="24"/>
              </w:rPr>
              <w:t>) falta de desarrollo normalmente aceptado principalmente en el dominio cognitivo; (</w:t>
            </w:r>
            <w:proofErr w:type="spellStart"/>
            <w:r>
              <w:rPr>
                <w:sz w:val="24"/>
                <w:szCs w:val="24"/>
              </w:rPr>
              <w:t>iv</w:t>
            </w:r>
            <w:proofErr w:type="spellEnd"/>
            <w:r>
              <w:rPr>
                <w:sz w:val="24"/>
                <w:szCs w:val="24"/>
              </w:rPr>
              <w:t>) discapacidad de la conducta adaptativa y (v) discapacidad que afecte negativamente el rendimiento académico de una persona.</w:t>
            </w:r>
            <w:r w:rsidRPr="00E532F9">
              <w:rPr>
                <w:vertAlign w:val="superscript"/>
              </w:rPr>
              <w:footnoteReference w:id="2"/>
            </w:r>
            <w:r>
              <w:rPr>
                <w:sz w:val="24"/>
                <w:szCs w:val="24"/>
              </w:rPr>
              <w:t xml:space="preserve"> El informe que determina que la persona tiene una discapacidad cognitiva debe contar con la firma y verificación de un médico (PhD y/o M.D.) especialista calificado donde conste que dicho informe es fidedigno y exacto.  La Batería Automatizada de Pruebas Neuropsicológicas de Cambridge mencionada anteriormente deberá incluir conclusiones cognitivas de la Prueba del Tiempo de Reacción (RTI), la Prueba del </w:t>
            </w:r>
            <w:proofErr w:type="spellStart"/>
            <w:r>
              <w:rPr>
                <w:i/>
                <w:iCs/>
                <w:sz w:val="24"/>
                <w:szCs w:val="24"/>
              </w:rPr>
              <w:t>Span</w:t>
            </w:r>
            <w:proofErr w:type="spellEnd"/>
            <w:r>
              <w:rPr>
                <w:sz w:val="24"/>
                <w:szCs w:val="24"/>
              </w:rPr>
              <w:t xml:space="preserve"> de Memoria Espacial (SSP), la Prueba </w:t>
            </w:r>
            <w:proofErr w:type="spellStart"/>
            <w:r>
              <w:rPr>
                <w:i/>
                <w:iCs/>
                <w:sz w:val="24"/>
                <w:szCs w:val="24"/>
              </w:rPr>
              <w:t>Stockings</w:t>
            </w:r>
            <w:proofErr w:type="spellEnd"/>
            <w:r>
              <w:rPr>
                <w:i/>
                <w:iCs/>
                <w:sz w:val="24"/>
                <w:szCs w:val="24"/>
              </w:rPr>
              <w:t xml:space="preserve"> of Cambridge</w:t>
            </w:r>
            <w:r>
              <w:rPr>
                <w:sz w:val="24"/>
                <w:szCs w:val="24"/>
              </w:rPr>
              <w:t xml:space="preserve"> (SOC) de resolución de problemas y la Prueba de </w:t>
            </w:r>
            <w:r>
              <w:rPr>
                <w:sz w:val="24"/>
                <w:szCs w:val="24"/>
              </w:rPr>
              <w:lastRenderedPageBreak/>
              <w:t xml:space="preserve">Cambio Dimensional (IED) de control de la atención.  </w:t>
            </w:r>
          </w:p>
        </w:tc>
        <w:tc>
          <w:tcPr>
            <w:tcW w:w="4317" w:type="dxa"/>
          </w:tcPr>
          <w:p w14:paraId="07F56CFF" w14:textId="77777777" w:rsidR="00E54CE6" w:rsidRPr="00E532F9" w:rsidRDefault="0016202A">
            <w:pPr>
              <w:jc w:val="center"/>
              <w:rPr>
                <w:rFonts w:eastAsia="Calibri" w:cs="Times New Roman"/>
                <w:b/>
                <w:color w:val="0D0D0D"/>
                <w:sz w:val="24"/>
                <w:szCs w:val="24"/>
                <w:u w:val="single"/>
              </w:rPr>
            </w:pPr>
            <w:r>
              <w:rPr>
                <w:b/>
                <w:color w:val="0D0D0D"/>
                <w:sz w:val="24"/>
                <w:szCs w:val="24"/>
                <w:u w:val="single"/>
              </w:rPr>
              <w:lastRenderedPageBreak/>
              <w:t>Prestaciones Pecuniarias</w:t>
            </w:r>
          </w:p>
          <w:p w14:paraId="6D632DFA" w14:textId="77777777" w:rsidR="00E54CE6" w:rsidRPr="00E532F9" w:rsidRDefault="00E54CE6">
            <w:pPr>
              <w:jc w:val="center"/>
              <w:rPr>
                <w:rFonts w:eastAsia="Calibri" w:cs="Times New Roman"/>
                <w:b/>
                <w:color w:val="0070C0"/>
                <w:sz w:val="24"/>
                <w:szCs w:val="24"/>
              </w:rPr>
            </w:pPr>
          </w:p>
          <w:p w14:paraId="10E7CAA2" w14:textId="77777777" w:rsidR="00E54CE6" w:rsidRPr="00E532F9" w:rsidRDefault="0016202A">
            <w:pPr>
              <w:jc w:val="center"/>
              <w:rPr>
                <w:rFonts w:eastAsia="Calibri" w:cs="Times New Roman"/>
                <w:b/>
                <w:color w:val="0070C0"/>
                <w:sz w:val="24"/>
                <w:szCs w:val="24"/>
              </w:rPr>
            </w:pPr>
            <w:r>
              <w:rPr>
                <w:b/>
                <w:color w:val="0070C0"/>
                <w:sz w:val="24"/>
                <w:szCs w:val="24"/>
              </w:rPr>
              <w:t>1.5x</w:t>
            </w:r>
          </w:p>
          <w:p w14:paraId="2755513D" w14:textId="77777777" w:rsidR="00E54CE6" w:rsidRPr="00E532F9" w:rsidRDefault="00E54CE6">
            <w:pPr>
              <w:rPr>
                <w:rFonts w:eastAsia="Calibri" w:cs="Times New Roman"/>
                <w:b/>
                <w:color w:val="0070C0"/>
                <w:sz w:val="24"/>
                <w:szCs w:val="24"/>
              </w:rPr>
            </w:pPr>
          </w:p>
          <w:p w14:paraId="0F1A6755" w14:textId="77777777" w:rsidR="00E54CE6" w:rsidRPr="00E532F9" w:rsidRDefault="00E54CE6">
            <w:pPr>
              <w:rPr>
                <w:rFonts w:eastAsia="Calibri" w:cs="Times New Roman"/>
                <w:b/>
                <w:color w:val="0070C0"/>
                <w:sz w:val="24"/>
                <w:szCs w:val="24"/>
              </w:rPr>
            </w:pPr>
          </w:p>
          <w:p w14:paraId="02FAD703" w14:textId="77777777" w:rsidR="00E54CE6" w:rsidRPr="00E532F9" w:rsidRDefault="00E54CE6">
            <w:pPr>
              <w:rPr>
                <w:rFonts w:eastAsia="Calibri" w:cs="Times New Roman"/>
                <w:b/>
                <w:color w:val="0070C0"/>
                <w:sz w:val="24"/>
                <w:szCs w:val="24"/>
              </w:rPr>
            </w:pPr>
          </w:p>
          <w:p w14:paraId="6C174B3B" w14:textId="77777777" w:rsidR="00E54CE6" w:rsidRPr="00E532F9" w:rsidRDefault="00E54CE6">
            <w:pPr>
              <w:rPr>
                <w:rFonts w:eastAsia="Calibri" w:cs="Times New Roman"/>
                <w:b/>
                <w:color w:val="0070C0"/>
                <w:sz w:val="24"/>
                <w:szCs w:val="24"/>
              </w:rPr>
            </w:pPr>
          </w:p>
          <w:p w14:paraId="54ADF8AA" w14:textId="77777777" w:rsidR="00E54CE6" w:rsidRPr="00E532F9" w:rsidRDefault="00E54CE6">
            <w:pPr>
              <w:rPr>
                <w:rFonts w:eastAsia="Calibri" w:cs="Times New Roman"/>
                <w:b/>
                <w:color w:val="0070C0"/>
                <w:sz w:val="24"/>
                <w:szCs w:val="24"/>
              </w:rPr>
            </w:pPr>
          </w:p>
          <w:p w14:paraId="3129879F" w14:textId="77777777" w:rsidR="00E54CE6" w:rsidRPr="00E532F9" w:rsidRDefault="00E54CE6">
            <w:pPr>
              <w:rPr>
                <w:rFonts w:eastAsia="Calibri" w:cs="Times New Roman"/>
                <w:b/>
                <w:color w:val="0070C0"/>
                <w:sz w:val="24"/>
                <w:szCs w:val="24"/>
              </w:rPr>
            </w:pPr>
          </w:p>
          <w:p w14:paraId="2144ADE3" w14:textId="77777777" w:rsidR="00E54CE6" w:rsidRPr="00E532F9" w:rsidRDefault="00E54CE6">
            <w:pPr>
              <w:rPr>
                <w:rFonts w:eastAsia="Calibri" w:cs="Times New Roman"/>
                <w:b/>
                <w:color w:val="0070C0"/>
                <w:sz w:val="24"/>
                <w:szCs w:val="24"/>
              </w:rPr>
            </w:pPr>
          </w:p>
          <w:p w14:paraId="62CFB01C" w14:textId="77777777" w:rsidR="00E54CE6" w:rsidRPr="00E532F9" w:rsidRDefault="00E54CE6">
            <w:pPr>
              <w:rPr>
                <w:rFonts w:eastAsia="Calibri" w:cs="Times New Roman"/>
                <w:b/>
                <w:color w:val="0070C0"/>
                <w:sz w:val="24"/>
                <w:szCs w:val="24"/>
              </w:rPr>
            </w:pPr>
          </w:p>
          <w:p w14:paraId="54A4096C" w14:textId="77777777" w:rsidR="00E54CE6" w:rsidRPr="00E532F9" w:rsidRDefault="00E54CE6">
            <w:pPr>
              <w:rPr>
                <w:rFonts w:eastAsia="Calibri" w:cs="Times New Roman"/>
                <w:b/>
                <w:color w:val="0070C0"/>
                <w:sz w:val="24"/>
                <w:szCs w:val="24"/>
              </w:rPr>
            </w:pPr>
          </w:p>
          <w:p w14:paraId="340A599D" w14:textId="77777777" w:rsidR="00E54CE6" w:rsidRPr="00E532F9" w:rsidRDefault="00E54CE6">
            <w:pPr>
              <w:rPr>
                <w:rFonts w:eastAsia="Calibri" w:cs="Times New Roman"/>
                <w:b/>
                <w:color w:val="0070C0"/>
                <w:sz w:val="24"/>
                <w:szCs w:val="24"/>
              </w:rPr>
            </w:pPr>
          </w:p>
          <w:p w14:paraId="0C1CACA9" w14:textId="77777777" w:rsidR="00E54CE6" w:rsidRPr="00E532F9" w:rsidRDefault="00E54CE6">
            <w:pPr>
              <w:rPr>
                <w:rFonts w:eastAsia="Calibri" w:cs="Times New Roman"/>
                <w:b/>
                <w:color w:val="0070C0"/>
                <w:sz w:val="24"/>
                <w:szCs w:val="24"/>
              </w:rPr>
            </w:pPr>
          </w:p>
          <w:p w14:paraId="431893F4" w14:textId="77777777" w:rsidR="00E54CE6" w:rsidRPr="00E532F9" w:rsidRDefault="00E54CE6">
            <w:pPr>
              <w:rPr>
                <w:rFonts w:eastAsia="Calibri" w:cs="Times New Roman"/>
                <w:b/>
                <w:color w:val="0070C0"/>
                <w:sz w:val="24"/>
                <w:szCs w:val="24"/>
              </w:rPr>
            </w:pPr>
          </w:p>
          <w:p w14:paraId="20F0D933" w14:textId="77777777" w:rsidR="00E54CE6" w:rsidRPr="00E532F9" w:rsidRDefault="00E54CE6">
            <w:pPr>
              <w:rPr>
                <w:rFonts w:eastAsia="Calibri" w:cs="Times New Roman"/>
                <w:b/>
                <w:color w:val="0070C0"/>
                <w:sz w:val="24"/>
                <w:szCs w:val="24"/>
              </w:rPr>
            </w:pPr>
          </w:p>
          <w:p w14:paraId="52C94009" w14:textId="77777777" w:rsidR="00E54CE6" w:rsidRPr="00E532F9" w:rsidRDefault="00E54CE6">
            <w:pPr>
              <w:rPr>
                <w:rFonts w:eastAsia="Calibri" w:cs="Times New Roman"/>
                <w:b/>
                <w:color w:val="0070C0"/>
                <w:sz w:val="24"/>
                <w:szCs w:val="24"/>
              </w:rPr>
            </w:pPr>
          </w:p>
          <w:p w14:paraId="0DAA7031" w14:textId="77777777" w:rsidR="00E54CE6" w:rsidRPr="00E532F9" w:rsidRDefault="00E54CE6">
            <w:pPr>
              <w:rPr>
                <w:rFonts w:eastAsia="Calibri" w:cs="Times New Roman"/>
                <w:b/>
                <w:color w:val="0070C0"/>
                <w:sz w:val="24"/>
                <w:szCs w:val="24"/>
              </w:rPr>
            </w:pPr>
          </w:p>
          <w:p w14:paraId="5E9EAFE3" w14:textId="77777777" w:rsidR="00E54CE6" w:rsidRPr="00E532F9" w:rsidRDefault="00E54CE6">
            <w:pPr>
              <w:rPr>
                <w:rFonts w:eastAsia="Calibri" w:cs="Times New Roman"/>
                <w:b/>
                <w:color w:val="0070C0"/>
                <w:sz w:val="24"/>
                <w:szCs w:val="24"/>
              </w:rPr>
            </w:pPr>
          </w:p>
          <w:p w14:paraId="08CE7820" w14:textId="77777777" w:rsidR="00E54CE6" w:rsidRPr="00E532F9" w:rsidRDefault="00E54CE6">
            <w:pPr>
              <w:rPr>
                <w:rFonts w:eastAsia="Calibri" w:cs="Times New Roman"/>
                <w:b/>
                <w:color w:val="0070C0"/>
                <w:sz w:val="24"/>
                <w:szCs w:val="24"/>
              </w:rPr>
            </w:pPr>
          </w:p>
          <w:p w14:paraId="73E3233C" w14:textId="77777777" w:rsidR="00E54CE6" w:rsidRPr="00E532F9" w:rsidRDefault="00E54CE6">
            <w:pPr>
              <w:rPr>
                <w:rFonts w:eastAsia="Calibri" w:cs="Times New Roman"/>
                <w:b/>
                <w:color w:val="0070C0"/>
                <w:sz w:val="24"/>
                <w:szCs w:val="24"/>
              </w:rPr>
            </w:pPr>
          </w:p>
          <w:p w14:paraId="6BCBBD2A" w14:textId="77777777" w:rsidR="00E54CE6" w:rsidRPr="00E532F9" w:rsidRDefault="00E54CE6">
            <w:pPr>
              <w:rPr>
                <w:rFonts w:eastAsia="Calibri" w:cs="Times New Roman"/>
                <w:b/>
                <w:color w:val="0070C0"/>
                <w:sz w:val="24"/>
                <w:szCs w:val="24"/>
              </w:rPr>
            </w:pPr>
          </w:p>
          <w:p w14:paraId="0224E494" w14:textId="77777777" w:rsidR="00E54CE6" w:rsidRPr="00E532F9" w:rsidRDefault="00E54CE6">
            <w:pPr>
              <w:rPr>
                <w:rFonts w:eastAsia="Calibri" w:cs="Times New Roman"/>
                <w:b/>
                <w:color w:val="0070C0"/>
                <w:sz w:val="24"/>
                <w:szCs w:val="24"/>
              </w:rPr>
            </w:pPr>
          </w:p>
          <w:p w14:paraId="5C61C008" w14:textId="77777777" w:rsidR="00E54CE6" w:rsidRPr="00E532F9" w:rsidRDefault="00E54CE6">
            <w:pPr>
              <w:rPr>
                <w:rFonts w:eastAsia="Calibri" w:cs="Times New Roman"/>
                <w:b/>
                <w:color w:val="0070C0"/>
                <w:sz w:val="24"/>
                <w:szCs w:val="24"/>
              </w:rPr>
            </w:pPr>
          </w:p>
          <w:p w14:paraId="2D10CA94" w14:textId="77777777" w:rsidR="00E54CE6" w:rsidRPr="00E532F9" w:rsidRDefault="00E54CE6">
            <w:pPr>
              <w:rPr>
                <w:rFonts w:eastAsia="Calibri" w:cs="Times New Roman"/>
                <w:b/>
                <w:color w:val="0070C0"/>
                <w:sz w:val="24"/>
                <w:szCs w:val="24"/>
              </w:rPr>
            </w:pPr>
          </w:p>
          <w:p w14:paraId="783847CF" w14:textId="77777777" w:rsidR="00E54CE6" w:rsidRPr="00E532F9" w:rsidRDefault="00E54CE6">
            <w:pPr>
              <w:rPr>
                <w:rFonts w:eastAsia="Calibri" w:cs="Times New Roman"/>
                <w:b/>
                <w:color w:val="0070C0"/>
                <w:sz w:val="24"/>
                <w:szCs w:val="24"/>
              </w:rPr>
            </w:pPr>
          </w:p>
          <w:p w14:paraId="2227CB4F" w14:textId="77777777" w:rsidR="00E54CE6" w:rsidRPr="00E532F9" w:rsidRDefault="00E54CE6">
            <w:pPr>
              <w:rPr>
                <w:rFonts w:eastAsia="Calibri" w:cs="Times New Roman"/>
                <w:b/>
                <w:color w:val="0070C0"/>
                <w:sz w:val="24"/>
                <w:szCs w:val="24"/>
              </w:rPr>
            </w:pPr>
          </w:p>
          <w:p w14:paraId="6BAF59F5" w14:textId="77777777" w:rsidR="00E54CE6" w:rsidRPr="00E532F9" w:rsidRDefault="00E54CE6">
            <w:pPr>
              <w:rPr>
                <w:rFonts w:eastAsia="Calibri" w:cs="Times New Roman"/>
                <w:b/>
                <w:color w:val="0070C0"/>
                <w:sz w:val="24"/>
                <w:szCs w:val="24"/>
              </w:rPr>
            </w:pPr>
          </w:p>
          <w:p w14:paraId="411AF80D" w14:textId="77777777" w:rsidR="00E54CE6" w:rsidRPr="00E532F9" w:rsidRDefault="00E54CE6">
            <w:pPr>
              <w:rPr>
                <w:rFonts w:eastAsia="Calibri" w:cs="Times New Roman"/>
                <w:b/>
                <w:color w:val="0070C0"/>
                <w:sz w:val="24"/>
                <w:szCs w:val="24"/>
              </w:rPr>
            </w:pPr>
          </w:p>
          <w:p w14:paraId="42AAE1DD" w14:textId="77777777" w:rsidR="00E54CE6" w:rsidRPr="00E532F9" w:rsidRDefault="00E54CE6">
            <w:pPr>
              <w:rPr>
                <w:rFonts w:eastAsia="Calibri" w:cs="Times New Roman"/>
                <w:b/>
                <w:color w:val="0070C0"/>
                <w:sz w:val="24"/>
                <w:szCs w:val="24"/>
              </w:rPr>
            </w:pPr>
          </w:p>
          <w:p w14:paraId="30A7BEA4" w14:textId="77777777" w:rsidR="00E54CE6" w:rsidRPr="00E532F9" w:rsidRDefault="00E54CE6">
            <w:pPr>
              <w:rPr>
                <w:rFonts w:eastAsia="Calibri" w:cs="Times New Roman"/>
                <w:b/>
                <w:color w:val="0070C0"/>
                <w:sz w:val="24"/>
                <w:szCs w:val="24"/>
              </w:rPr>
            </w:pPr>
          </w:p>
          <w:p w14:paraId="2E496DE0" w14:textId="77777777" w:rsidR="00E54CE6" w:rsidRPr="00E532F9" w:rsidRDefault="00E54CE6">
            <w:pPr>
              <w:rPr>
                <w:rFonts w:eastAsia="Calibri" w:cs="Times New Roman"/>
                <w:b/>
                <w:color w:val="0070C0"/>
                <w:sz w:val="24"/>
                <w:szCs w:val="24"/>
              </w:rPr>
            </w:pPr>
          </w:p>
          <w:p w14:paraId="5208EB1D" w14:textId="77777777" w:rsidR="00E54CE6" w:rsidRPr="00E532F9" w:rsidRDefault="00E54CE6">
            <w:pPr>
              <w:rPr>
                <w:rFonts w:eastAsia="Calibri" w:cs="Times New Roman"/>
                <w:b/>
                <w:color w:val="0070C0"/>
                <w:sz w:val="24"/>
                <w:szCs w:val="24"/>
              </w:rPr>
            </w:pPr>
          </w:p>
          <w:p w14:paraId="3B308EFA" w14:textId="77777777" w:rsidR="00E54CE6" w:rsidRPr="00E532F9" w:rsidRDefault="00E54CE6">
            <w:pPr>
              <w:rPr>
                <w:rFonts w:eastAsia="Calibri" w:cs="Times New Roman"/>
                <w:b/>
                <w:color w:val="0070C0"/>
                <w:sz w:val="24"/>
                <w:szCs w:val="24"/>
              </w:rPr>
            </w:pPr>
          </w:p>
          <w:p w14:paraId="50E9E5AF" w14:textId="77777777" w:rsidR="00E54CE6" w:rsidRPr="00E532F9" w:rsidRDefault="00E54CE6">
            <w:pPr>
              <w:rPr>
                <w:rFonts w:eastAsia="Calibri" w:cs="Times New Roman"/>
                <w:b/>
                <w:color w:val="0070C0"/>
                <w:sz w:val="24"/>
                <w:szCs w:val="24"/>
              </w:rPr>
            </w:pPr>
          </w:p>
          <w:p w14:paraId="381D54C0" w14:textId="77777777" w:rsidR="00E54CE6" w:rsidRPr="00E532F9" w:rsidRDefault="00E54CE6">
            <w:pPr>
              <w:rPr>
                <w:rFonts w:eastAsia="Calibri" w:cs="Times New Roman"/>
                <w:b/>
                <w:color w:val="0070C0"/>
                <w:sz w:val="24"/>
                <w:szCs w:val="24"/>
              </w:rPr>
            </w:pPr>
          </w:p>
          <w:p w14:paraId="58490BFC" w14:textId="77777777" w:rsidR="00E54CE6" w:rsidRPr="00E532F9" w:rsidRDefault="00E54CE6">
            <w:pPr>
              <w:rPr>
                <w:rFonts w:eastAsia="Calibri" w:cs="Times New Roman"/>
                <w:b/>
                <w:color w:val="0070C0"/>
                <w:sz w:val="24"/>
                <w:szCs w:val="24"/>
              </w:rPr>
            </w:pPr>
          </w:p>
          <w:p w14:paraId="055DB245" w14:textId="77777777" w:rsidR="00E54CE6" w:rsidRPr="00E532F9" w:rsidRDefault="00E54CE6">
            <w:pPr>
              <w:rPr>
                <w:rFonts w:eastAsia="Calibri" w:cs="Times New Roman"/>
                <w:b/>
                <w:color w:val="0070C0"/>
                <w:sz w:val="24"/>
                <w:szCs w:val="24"/>
              </w:rPr>
            </w:pPr>
          </w:p>
          <w:p w14:paraId="768CADDF" w14:textId="77777777" w:rsidR="00E54CE6" w:rsidRPr="00E532F9" w:rsidRDefault="00E54CE6">
            <w:pPr>
              <w:rPr>
                <w:rFonts w:eastAsia="Calibri" w:cs="Times New Roman"/>
                <w:b/>
                <w:color w:val="0070C0"/>
                <w:sz w:val="24"/>
                <w:szCs w:val="24"/>
              </w:rPr>
            </w:pPr>
          </w:p>
          <w:p w14:paraId="0DF735AE" w14:textId="77777777" w:rsidR="00E54CE6" w:rsidRPr="00E532F9" w:rsidRDefault="00E54CE6">
            <w:pPr>
              <w:rPr>
                <w:rFonts w:eastAsia="Calibri" w:cs="Times New Roman"/>
                <w:b/>
                <w:color w:val="0070C0"/>
                <w:sz w:val="24"/>
                <w:szCs w:val="24"/>
              </w:rPr>
            </w:pPr>
          </w:p>
          <w:p w14:paraId="5FD31CD1" w14:textId="77777777" w:rsidR="00E54CE6" w:rsidRPr="00E532F9" w:rsidRDefault="00E54CE6">
            <w:pPr>
              <w:rPr>
                <w:rFonts w:eastAsia="Calibri" w:cs="Times New Roman"/>
              </w:rPr>
            </w:pPr>
          </w:p>
        </w:tc>
        <w:tc>
          <w:tcPr>
            <w:tcW w:w="4317" w:type="dxa"/>
          </w:tcPr>
          <w:p w14:paraId="41055824" w14:textId="77777777" w:rsidR="00E54CE6" w:rsidRPr="00E532F9" w:rsidRDefault="0016202A">
            <w:pPr>
              <w:jc w:val="center"/>
              <w:rPr>
                <w:rFonts w:eastAsia="Calibri" w:cs="Times New Roman"/>
                <w:b/>
                <w:color w:val="0D0D0D"/>
                <w:sz w:val="24"/>
                <w:szCs w:val="24"/>
                <w:u w:val="single"/>
              </w:rPr>
            </w:pPr>
            <w:r>
              <w:rPr>
                <w:b/>
                <w:color w:val="0D0D0D"/>
                <w:sz w:val="24"/>
                <w:szCs w:val="24"/>
                <w:u w:val="single"/>
              </w:rPr>
              <w:lastRenderedPageBreak/>
              <w:t>Pruebas Exigidas</w:t>
            </w:r>
          </w:p>
          <w:p w14:paraId="05132B3B" w14:textId="77777777" w:rsidR="00E54CE6" w:rsidRPr="00E532F9" w:rsidRDefault="00E54CE6">
            <w:pPr>
              <w:rPr>
                <w:rFonts w:eastAsia="Calibri" w:cs="Times New Roman"/>
                <w:sz w:val="24"/>
                <w:szCs w:val="24"/>
                <w:u w:val="single"/>
              </w:rPr>
            </w:pPr>
          </w:p>
          <w:p w14:paraId="4B6E3B38" w14:textId="77777777" w:rsidR="00E54CE6" w:rsidRPr="00E532F9" w:rsidRDefault="0016202A">
            <w:pPr>
              <w:rPr>
                <w:rFonts w:eastAsia="Calibri" w:cs="Times New Roman"/>
                <w:sz w:val="24"/>
                <w:szCs w:val="24"/>
              </w:rPr>
            </w:pPr>
            <w:r>
              <w:rPr>
                <w:sz w:val="24"/>
                <w:szCs w:val="24"/>
                <w:u w:val="single"/>
              </w:rPr>
              <w:t>Pruebas en la sangre o en los huesos</w:t>
            </w:r>
            <w:r>
              <w:rPr>
                <w:sz w:val="24"/>
                <w:szCs w:val="24"/>
              </w:rPr>
              <w:t>: tal como se describe en las pruebas exigidas para la Categoría 1.</w:t>
            </w:r>
          </w:p>
          <w:p w14:paraId="5EE2A371" w14:textId="77777777" w:rsidR="00E54CE6" w:rsidRPr="00E532F9" w:rsidRDefault="00E54CE6">
            <w:pPr>
              <w:rPr>
                <w:rFonts w:eastAsia="Calibri" w:cs="Times New Roman"/>
                <w:sz w:val="24"/>
                <w:szCs w:val="24"/>
              </w:rPr>
            </w:pPr>
          </w:p>
          <w:p w14:paraId="37A5068F" w14:textId="77777777" w:rsidR="00E54CE6" w:rsidRPr="00E532F9" w:rsidRDefault="0016202A">
            <w:pPr>
              <w:jc w:val="both"/>
              <w:rPr>
                <w:sz w:val="24"/>
                <w:szCs w:val="24"/>
              </w:rPr>
            </w:pPr>
            <w:r>
              <w:rPr>
                <w:sz w:val="24"/>
                <w:szCs w:val="24"/>
                <w:u w:val="single"/>
              </w:rPr>
              <w:lastRenderedPageBreak/>
              <w:t>Déficit cognitivo</w:t>
            </w:r>
            <w:r>
              <w:rPr>
                <w:sz w:val="24"/>
                <w:szCs w:val="24"/>
              </w:rPr>
              <w:t>: Informe exigido tal como se indica en la Descripción de la Categoría.</w:t>
            </w:r>
          </w:p>
          <w:p w14:paraId="50F973FD" w14:textId="77777777" w:rsidR="00E54CE6" w:rsidRPr="00E532F9" w:rsidRDefault="00E54CE6">
            <w:pPr>
              <w:autoSpaceDE w:val="0"/>
              <w:autoSpaceDN w:val="0"/>
              <w:adjustRightInd w:val="0"/>
              <w:jc w:val="both"/>
              <w:rPr>
                <w:rFonts w:eastAsia="Calibri" w:cs="Times New Roman"/>
                <w:sz w:val="24"/>
                <w:szCs w:val="24"/>
                <w:u w:val="single"/>
              </w:rPr>
            </w:pPr>
          </w:p>
          <w:p w14:paraId="0CE39B29" w14:textId="77777777" w:rsidR="00E54CE6" w:rsidRPr="00E532F9" w:rsidRDefault="00E54CE6">
            <w:pPr>
              <w:autoSpaceDE w:val="0"/>
              <w:autoSpaceDN w:val="0"/>
              <w:adjustRightInd w:val="0"/>
              <w:jc w:val="both"/>
              <w:rPr>
                <w:rFonts w:eastAsia="Calibri" w:cs="Times New Roman"/>
                <w:sz w:val="24"/>
                <w:szCs w:val="24"/>
                <w:u w:val="single"/>
              </w:rPr>
            </w:pPr>
          </w:p>
          <w:p w14:paraId="12C43D1A" w14:textId="77777777" w:rsidR="00E54CE6" w:rsidRPr="00E532F9" w:rsidRDefault="00E54CE6">
            <w:pPr>
              <w:autoSpaceDE w:val="0"/>
              <w:autoSpaceDN w:val="0"/>
              <w:adjustRightInd w:val="0"/>
              <w:jc w:val="both"/>
              <w:rPr>
                <w:rFonts w:eastAsia="Calibri" w:cs="Times New Roman"/>
                <w:sz w:val="24"/>
                <w:szCs w:val="24"/>
                <w:u w:val="single"/>
              </w:rPr>
            </w:pPr>
          </w:p>
          <w:p w14:paraId="0D68D3AF" w14:textId="77777777" w:rsidR="00E54CE6" w:rsidRPr="00E532F9" w:rsidRDefault="00E54CE6">
            <w:pPr>
              <w:autoSpaceDE w:val="0"/>
              <w:autoSpaceDN w:val="0"/>
              <w:adjustRightInd w:val="0"/>
              <w:jc w:val="both"/>
              <w:rPr>
                <w:rFonts w:eastAsia="Calibri" w:cs="Times New Roman"/>
                <w:sz w:val="24"/>
                <w:szCs w:val="24"/>
                <w:u w:val="single"/>
              </w:rPr>
            </w:pPr>
          </w:p>
          <w:p w14:paraId="098D8DC2" w14:textId="77777777" w:rsidR="00E54CE6" w:rsidRPr="00E532F9" w:rsidRDefault="00E54CE6">
            <w:pPr>
              <w:autoSpaceDE w:val="0"/>
              <w:autoSpaceDN w:val="0"/>
              <w:adjustRightInd w:val="0"/>
              <w:jc w:val="both"/>
              <w:rPr>
                <w:rFonts w:eastAsia="Calibri" w:cs="Times New Roman"/>
                <w:sz w:val="24"/>
                <w:szCs w:val="24"/>
                <w:u w:val="single"/>
              </w:rPr>
            </w:pPr>
          </w:p>
          <w:p w14:paraId="16841343" w14:textId="77777777" w:rsidR="00E54CE6" w:rsidRPr="00E532F9" w:rsidRDefault="00E54CE6">
            <w:pPr>
              <w:autoSpaceDE w:val="0"/>
              <w:autoSpaceDN w:val="0"/>
              <w:adjustRightInd w:val="0"/>
              <w:jc w:val="both"/>
              <w:rPr>
                <w:rFonts w:eastAsia="Calibri" w:cs="Times New Roman"/>
                <w:sz w:val="24"/>
                <w:szCs w:val="24"/>
                <w:u w:val="single"/>
              </w:rPr>
            </w:pPr>
          </w:p>
          <w:p w14:paraId="63E3A543" w14:textId="77777777" w:rsidR="00E54CE6" w:rsidRPr="00E532F9" w:rsidRDefault="00E54CE6">
            <w:pPr>
              <w:autoSpaceDE w:val="0"/>
              <w:autoSpaceDN w:val="0"/>
              <w:adjustRightInd w:val="0"/>
              <w:jc w:val="both"/>
              <w:rPr>
                <w:rFonts w:eastAsia="Calibri" w:cs="Times New Roman"/>
                <w:sz w:val="24"/>
                <w:szCs w:val="24"/>
                <w:u w:val="single"/>
              </w:rPr>
            </w:pPr>
          </w:p>
          <w:p w14:paraId="2F47F6D3" w14:textId="77777777" w:rsidR="00E54CE6" w:rsidRPr="00E532F9" w:rsidRDefault="00E54CE6">
            <w:pPr>
              <w:autoSpaceDE w:val="0"/>
              <w:autoSpaceDN w:val="0"/>
              <w:adjustRightInd w:val="0"/>
              <w:jc w:val="both"/>
              <w:rPr>
                <w:rFonts w:eastAsia="Calibri" w:cs="Times New Roman"/>
                <w:sz w:val="24"/>
                <w:szCs w:val="24"/>
                <w:u w:val="single"/>
              </w:rPr>
            </w:pPr>
          </w:p>
          <w:p w14:paraId="76D4BD50" w14:textId="77777777" w:rsidR="00E54CE6" w:rsidRPr="00E532F9" w:rsidRDefault="00E54CE6">
            <w:pPr>
              <w:autoSpaceDE w:val="0"/>
              <w:autoSpaceDN w:val="0"/>
              <w:adjustRightInd w:val="0"/>
              <w:jc w:val="both"/>
              <w:rPr>
                <w:rFonts w:eastAsia="Calibri" w:cs="Times New Roman"/>
                <w:sz w:val="24"/>
                <w:szCs w:val="24"/>
                <w:u w:val="single"/>
              </w:rPr>
            </w:pPr>
          </w:p>
          <w:p w14:paraId="5A6F9CE6" w14:textId="77777777" w:rsidR="00E54CE6" w:rsidRPr="00E532F9" w:rsidRDefault="00E54CE6">
            <w:pPr>
              <w:autoSpaceDE w:val="0"/>
              <w:autoSpaceDN w:val="0"/>
              <w:adjustRightInd w:val="0"/>
              <w:jc w:val="both"/>
              <w:rPr>
                <w:rFonts w:eastAsia="Calibri" w:cs="Times New Roman"/>
                <w:sz w:val="24"/>
                <w:szCs w:val="24"/>
                <w:u w:val="single"/>
              </w:rPr>
            </w:pPr>
          </w:p>
          <w:p w14:paraId="06E300B2" w14:textId="77777777" w:rsidR="00E54CE6" w:rsidRPr="00E532F9" w:rsidRDefault="00E54CE6">
            <w:pPr>
              <w:autoSpaceDE w:val="0"/>
              <w:autoSpaceDN w:val="0"/>
              <w:adjustRightInd w:val="0"/>
              <w:jc w:val="both"/>
              <w:rPr>
                <w:rFonts w:eastAsia="Calibri" w:cs="Times New Roman"/>
                <w:sz w:val="24"/>
                <w:szCs w:val="24"/>
                <w:u w:val="single"/>
              </w:rPr>
            </w:pPr>
          </w:p>
          <w:p w14:paraId="4D9E57AC" w14:textId="77777777" w:rsidR="00E54CE6" w:rsidRPr="00E532F9" w:rsidRDefault="00E54CE6">
            <w:pPr>
              <w:autoSpaceDE w:val="0"/>
              <w:autoSpaceDN w:val="0"/>
              <w:adjustRightInd w:val="0"/>
              <w:jc w:val="both"/>
              <w:rPr>
                <w:rFonts w:eastAsia="Calibri" w:cs="Times New Roman"/>
                <w:sz w:val="24"/>
                <w:szCs w:val="24"/>
                <w:u w:val="single"/>
              </w:rPr>
            </w:pPr>
          </w:p>
          <w:p w14:paraId="4E96455D" w14:textId="77777777" w:rsidR="00E54CE6" w:rsidRPr="00E532F9" w:rsidRDefault="00E54CE6">
            <w:pPr>
              <w:autoSpaceDE w:val="0"/>
              <w:autoSpaceDN w:val="0"/>
              <w:adjustRightInd w:val="0"/>
              <w:jc w:val="both"/>
              <w:rPr>
                <w:rFonts w:eastAsia="Calibri" w:cs="Times New Roman"/>
                <w:sz w:val="24"/>
                <w:szCs w:val="24"/>
                <w:u w:val="single"/>
              </w:rPr>
            </w:pPr>
          </w:p>
          <w:p w14:paraId="75EFDF7E" w14:textId="77777777" w:rsidR="00E54CE6" w:rsidRPr="00E532F9" w:rsidRDefault="00E54CE6">
            <w:pPr>
              <w:autoSpaceDE w:val="0"/>
              <w:autoSpaceDN w:val="0"/>
              <w:adjustRightInd w:val="0"/>
              <w:jc w:val="both"/>
              <w:rPr>
                <w:rFonts w:eastAsia="Calibri" w:cs="Times New Roman"/>
                <w:sz w:val="24"/>
                <w:szCs w:val="24"/>
                <w:u w:val="single"/>
              </w:rPr>
            </w:pPr>
          </w:p>
          <w:p w14:paraId="0E5DD565" w14:textId="77777777" w:rsidR="00E54CE6" w:rsidRPr="00E532F9" w:rsidRDefault="00E54CE6">
            <w:pPr>
              <w:autoSpaceDE w:val="0"/>
              <w:autoSpaceDN w:val="0"/>
              <w:adjustRightInd w:val="0"/>
              <w:jc w:val="both"/>
              <w:rPr>
                <w:rFonts w:eastAsia="Calibri" w:cs="Times New Roman"/>
                <w:sz w:val="24"/>
                <w:szCs w:val="24"/>
                <w:u w:val="single"/>
              </w:rPr>
            </w:pPr>
          </w:p>
          <w:p w14:paraId="40D03778" w14:textId="77777777" w:rsidR="00E54CE6" w:rsidRPr="00E532F9" w:rsidRDefault="00E54CE6">
            <w:pPr>
              <w:autoSpaceDE w:val="0"/>
              <w:autoSpaceDN w:val="0"/>
              <w:adjustRightInd w:val="0"/>
              <w:jc w:val="both"/>
              <w:rPr>
                <w:rFonts w:eastAsia="Calibri" w:cs="Times New Roman"/>
                <w:sz w:val="24"/>
                <w:szCs w:val="24"/>
                <w:u w:val="single"/>
              </w:rPr>
            </w:pPr>
          </w:p>
          <w:p w14:paraId="0EECBDC7" w14:textId="77777777" w:rsidR="00E54CE6" w:rsidRPr="00E532F9" w:rsidRDefault="00E54CE6">
            <w:pPr>
              <w:autoSpaceDE w:val="0"/>
              <w:autoSpaceDN w:val="0"/>
              <w:adjustRightInd w:val="0"/>
              <w:jc w:val="both"/>
              <w:rPr>
                <w:rFonts w:eastAsia="Calibri" w:cs="Times New Roman"/>
                <w:sz w:val="24"/>
                <w:szCs w:val="24"/>
                <w:u w:val="single"/>
              </w:rPr>
            </w:pPr>
          </w:p>
          <w:p w14:paraId="2B394433" w14:textId="77777777" w:rsidR="00E54CE6" w:rsidRPr="00E532F9" w:rsidRDefault="00E54CE6">
            <w:pPr>
              <w:autoSpaceDE w:val="0"/>
              <w:autoSpaceDN w:val="0"/>
              <w:adjustRightInd w:val="0"/>
              <w:jc w:val="both"/>
              <w:rPr>
                <w:rFonts w:eastAsia="Calibri" w:cs="Times New Roman"/>
                <w:sz w:val="24"/>
                <w:szCs w:val="24"/>
                <w:u w:val="single"/>
              </w:rPr>
            </w:pPr>
          </w:p>
          <w:p w14:paraId="4EFA2840" w14:textId="77777777" w:rsidR="00E54CE6" w:rsidRPr="00E532F9" w:rsidRDefault="00E54CE6">
            <w:pPr>
              <w:autoSpaceDE w:val="0"/>
              <w:autoSpaceDN w:val="0"/>
              <w:adjustRightInd w:val="0"/>
              <w:jc w:val="both"/>
              <w:rPr>
                <w:rFonts w:eastAsia="Calibri" w:cs="Times New Roman"/>
                <w:sz w:val="24"/>
                <w:szCs w:val="24"/>
              </w:rPr>
            </w:pPr>
          </w:p>
        </w:tc>
      </w:tr>
      <w:tr w:rsidR="00E54CE6" w:rsidRPr="00E532F9" w14:paraId="5CAB9EFA" w14:textId="77777777">
        <w:tc>
          <w:tcPr>
            <w:tcW w:w="12950" w:type="dxa"/>
            <w:gridSpan w:val="3"/>
            <w:shd w:val="clear" w:color="auto" w:fill="B4C6E7"/>
          </w:tcPr>
          <w:p w14:paraId="5275A770" w14:textId="77777777" w:rsidR="00E54CE6" w:rsidRPr="00E532F9" w:rsidRDefault="00E54CE6">
            <w:pPr>
              <w:rPr>
                <w:rFonts w:eastAsia="Calibri" w:cs="Times New Roman"/>
                <w:b/>
                <w:sz w:val="24"/>
                <w:szCs w:val="24"/>
                <w:u w:val="single"/>
              </w:rPr>
            </w:pPr>
          </w:p>
          <w:p w14:paraId="06A55C37" w14:textId="77777777" w:rsidR="00E54CE6" w:rsidRPr="00E532F9" w:rsidRDefault="0016202A">
            <w:pPr>
              <w:jc w:val="center"/>
              <w:rPr>
                <w:rFonts w:eastAsia="Calibri" w:cs="Times New Roman"/>
                <w:b/>
                <w:caps/>
                <w:sz w:val="24"/>
                <w:szCs w:val="24"/>
                <w:u w:val="single"/>
              </w:rPr>
            </w:pPr>
            <w:r>
              <w:rPr>
                <w:b/>
                <w:caps/>
                <w:sz w:val="24"/>
                <w:szCs w:val="24"/>
                <w:u w:val="single"/>
              </w:rPr>
              <w:t>Categoría 3</w:t>
            </w:r>
          </w:p>
          <w:p w14:paraId="10CF6C5F" w14:textId="77777777" w:rsidR="00E54CE6" w:rsidRPr="00E532F9" w:rsidRDefault="0016202A">
            <w:pPr>
              <w:jc w:val="center"/>
              <w:rPr>
                <w:rFonts w:eastAsia="Calibri" w:cs="Times New Roman"/>
                <w:sz w:val="24"/>
                <w:szCs w:val="24"/>
              </w:rPr>
            </w:pPr>
            <w:r>
              <w:rPr>
                <w:sz w:val="24"/>
                <w:szCs w:val="24"/>
                <w:u w:val="single"/>
              </w:rPr>
              <w:t>Niño, 6 años o menos</w:t>
            </w:r>
            <w:r>
              <w:rPr>
                <w:sz w:val="24"/>
                <w:szCs w:val="24"/>
              </w:rPr>
              <w:t>, nivel de plomo, déficit cognitivo, nacimiento prematuro o peso bajo al nacer.</w:t>
            </w:r>
          </w:p>
          <w:p w14:paraId="007D2972" w14:textId="77777777" w:rsidR="00E54CE6" w:rsidRPr="00E532F9" w:rsidRDefault="00E54CE6">
            <w:pPr>
              <w:autoSpaceDE w:val="0"/>
              <w:autoSpaceDN w:val="0"/>
              <w:adjustRightInd w:val="0"/>
              <w:contextualSpacing/>
              <w:jc w:val="both"/>
              <w:rPr>
                <w:rFonts w:eastAsia="Calibri" w:cs="Times New Roman"/>
                <w:b/>
                <w:sz w:val="24"/>
                <w:szCs w:val="24"/>
                <w:u w:val="single"/>
              </w:rPr>
            </w:pPr>
          </w:p>
        </w:tc>
      </w:tr>
      <w:tr w:rsidR="00E54CE6" w:rsidRPr="00E532F9" w14:paraId="44228E3C" w14:textId="77777777">
        <w:trPr>
          <w:trHeight w:val="2510"/>
        </w:trPr>
        <w:tc>
          <w:tcPr>
            <w:tcW w:w="4316" w:type="dxa"/>
          </w:tcPr>
          <w:p w14:paraId="3EFECF3D" w14:textId="77777777" w:rsidR="00E54CE6" w:rsidRPr="00E532F9" w:rsidRDefault="0016202A">
            <w:pPr>
              <w:jc w:val="center"/>
              <w:rPr>
                <w:rFonts w:eastAsia="Calibri" w:cs="Times New Roman"/>
                <w:b/>
                <w:sz w:val="24"/>
                <w:szCs w:val="24"/>
                <w:u w:val="single"/>
              </w:rPr>
            </w:pPr>
            <w:r>
              <w:rPr>
                <w:b/>
                <w:sz w:val="24"/>
                <w:szCs w:val="24"/>
                <w:u w:val="single"/>
              </w:rPr>
              <w:t xml:space="preserve">Descripción de la Categoría </w:t>
            </w:r>
          </w:p>
          <w:p w14:paraId="5061241C" w14:textId="77777777" w:rsidR="00E54CE6" w:rsidRPr="00E532F9" w:rsidRDefault="00E54CE6">
            <w:pPr>
              <w:jc w:val="both"/>
              <w:rPr>
                <w:rFonts w:eastAsia="Calibri" w:cs="Times New Roman"/>
                <w:b/>
                <w:sz w:val="24"/>
                <w:szCs w:val="24"/>
                <w:u w:val="single"/>
              </w:rPr>
            </w:pPr>
          </w:p>
          <w:p w14:paraId="39B334EB" w14:textId="77777777" w:rsidR="00E54CE6" w:rsidRPr="00E532F9" w:rsidRDefault="0016202A">
            <w:pPr>
              <w:jc w:val="both"/>
              <w:rPr>
                <w:rFonts w:eastAsia="Calibri" w:cs="Times New Roman"/>
                <w:b/>
                <w:sz w:val="24"/>
                <w:szCs w:val="24"/>
                <w:u w:val="single"/>
              </w:rPr>
            </w:pPr>
            <w:r>
              <w:rPr>
                <w:b/>
                <w:sz w:val="24"/>
                <w:szCs w:val="24"/>
                <w:u w:val="single"/>
              </w:rPr>
              <w:t>Nivel de Plomo</w:t>
            </w:r>
          </w:p>
          <w:p w14:paraId="2B01E0AE" w14:textId="77777777" w:rsidR="00E54CE6" w:rsidRPr="00E532F9" w:rsidRDefault="0016202A">
            <w:pPr>
              <w:jc w:val="both"/>
              <w:rPr>
                <w:rFonts w:eastAsia="Calibri" w:cs="Times New Roman"/>
                <w:sz w:val="24"/>
                <w:szCs w:val="24"/>
              </w:rPr>
            </w:pPr>
            <w:r>
              <w:rPr>
                <w:sz w:val="24"/>
                <w:szCs w:val="24"/>
              </w:rPr>
              <w:t>Personas</w:t>
            </w:r>
            <w:r>
              <w:rPr>
                <w:iCs/>
                <w:sz w:val="24"/>
                <w:szCs w:val="24"/>
              </w:rPr>
              <w:t xml:space="preserve"> de 6 años o menos en el momento de la primera exposición quienes</w:t>
            </w:r>
            <w:r>
              <w:rPr>
                <w:sz w:val="24"/>
                <w:szCs w:val="24"/>
              </w:rPr>
              <w:t>:</w:t>
            </w:r>
          </w:p>
          <w:p w14:paraId="02154DBA" w14:textId="77777777" w:rsidR="00E54CE6" w:rsidRPr="00E532F9" w:rsidRDefault="00E54CE6">
            <w:pPr>
              <w:jc w:val="both"/>
              <w:rPr>
                <w:rFonts w:eastAsia="Calibri" w:cs="Times New Roman"/>
                <w:sz w:val="24"/>
                <w:szCs w:val="24"/>
              </w:rPr>
            </w:pPr>
          </w:p>
          <w:p w14:paraId="06539C3C" w14:textId="77777777" w:rsidR="00E54CE6" w:rsidRPr="00E532F9" w:rsidRDefault="0016202A">
            <w:pPr>
              <w:jc w:val="both"/>
              <w:rPr>
                <w:rFonts w:eastAsia="Calibri" w:cs="Times New Roman"/>
                <w:sz w:val="24"/>
                <w:szCs w:val="24"/>
              </w:rPr>
            </w:pPr>
            <w:r>
              <w:rPr>
                <w:sz w:val="24"/>
                <w:szCs w:val="24"/>
              </w:rPr>
              <w:t>(1) Por al menos 21 días durante cualquier período de 30 días entre el 25 de abril de 2014 y el 31 de julio de 2016;</w:t>
            </w:r>
          </w:p>
          <w:p w14:paraId="509D5E19" w14:textId="77777777" w:rsidR="00E54CE6" w:rsidRPr="00E532F9" w:rsidRDefault="00E54CE6">
            <w:pPr>
              <w:jc w:val="both"/>
              <w:rPr>
                <w:rFonts w:eastAsia="Calibri" w:cs="Times New Roman"/>
                <w:sz w:val="24"/>
                <w:szCs w:val="24"/>
              </w:rPr>
            </w:pPr>
          </w:p>
          <w:p w14:paraId="402FCDAC" w14:textId="77777777" w:rsidR="00E54CE6" w:rsidRPr="00E532F9" w:rsidRDefault="0016202A">
            <w:pPr>
              <w:jc w:val="both"/>
              <w:rPr>
                <w:rFonts w:eastAsia="Calibri" w:cs="Times New Roman"/>
                <w:b/>
                <w:bCs/>
                <w:sz w:val="24"/>
                <w:szCs w:val="24"/>
              </w:rPr>
            </w:pPr>
            <w:r>
              <w:rPr>
                <w:sz w:val="24"/>
                <w:szCs w:val="24"/>
              </w:rPr>
              <w:t xml:space="preserve">(2) Residieron, habitaron o asistieron a escuelas o guarderías de Flint, o estuvieron expuestas de alguna forma al agua de Flint; </w:t>
            </w:r>
            <w:r>
              <w:rPr>
                <w:b/>
                <w:bCs/>
                <w:sz w:val="24"/>
                <w:szCs w:val="24"/>
              </w:rPr>
              <w:t>y</w:t>
            </w:r>
          </w:p>
          <w:p w14:paraId="04F21FEC" w14:textId="77777777" w:rsidR="00E54CE6" w:rsidRPr="00E532F9" w:rsidRDefault="00E54CE6">
            <w:pPr>
              <w:jc w:val="both"/>
              <w:rPr>
                <w:rFonts w:eastAsia="Calibri" w:cs="Times New Roman"/>
                <w:b/>
                <w:bCs/>
                <w:sz w:val="24"/>
                <w:szCs w:val="24"/>
              </w:rPr>
            </w:pPr>
          </w:p>
          <w:p w14:paraId="57BF4B71" w14:textId="77777777" w:rsidR="00E54CE6" w:rsidRPr="00E532F9" w:rsidRDefault="0016202A">
            <w:pPr>
              <w:jc w:val="both"/>
              <w:rPr>
                <w:rFonts w:eastAsia="Calibri" w:cs="Times New Roman"/>
                <w:sz w:val="24"/>
                <w:szCs w:val="24"/>
              </w:rPr>
            </w:pPr>
            <w:r>
              <w:rPr>
                <w:sz w:val="24"/>
                <w:szCs w:val="24"/>
              </w:rPr>
              <w:t xml:space="preserve">(3) Obtuvieron un resultado de o entre 3.0 y 4.9 </w:t>
            </w:r>
            <w:proofErr w:type="spellStart"/>
            <w:r>
              <w:rPr>
                <w:sz w:val="24"/>
                <w:szCs w:val="24"/>
              </w:rPr>
              <w:t>mcg</w:t>
            </w:r>
            <w:proofErr w:type="spellEnd"/>
            <w:r>
              <w:rPr>
                <w:sz w:val="24"/>
                <w:szCs w:val="24"/>
              </w:rPr>
              <w:t>/</w:t>
            </w:r>
            <w:proofErr w:type="spellStart"/>
            <w:r>
              <w:rPr>
                <w:sz w:val="24"/>
                <w:szCs w:val="24"/>
              </w:rPr>
              <w:t>dL</w:t>
            </w:r>
            <w:proofErr w:type="spellEnd"/>
            <w:r>
              <w:rPr>
                <w:sz w:val="24"/>
                <w:szCs w:val="24"/>
              </w:rPr>
              <w:t xml:space="preserve"> en una prueba de nivel de plomo en la sangre realizada entre el 16 de mayo de 2014 y el 31 de agosto de 2016; </w:t>
            </w:r>
            <w:r>
              <w:rPr>
                <w:b/>
                <w:sz w:val="24"/>
                <w:szCs w:val="24"/>
                <w:u w:val="single"/>
              </w:rPr>
              <w:t xml:space="preserve">o </w:t>
            </w:r>
            <w:r>
              <w:rPr>
                <w:sz w:val="24"/>
                <w:szCs w:val="24"/>
              </w:rPr>
              <w:t xml:space="preserve">un resultado de o entre 3.0 y 4.9 </w:t>
            </w:r>
            <w:proofErr w:type="spellStart"/>
            <w:r>
              <w:rPr>
                <w:sz w:val="24"/>
                <w:szCs w:val="24"/>
              </w:rPr>
              <w:t>ug</w:t>
            </w:r>
            <w:proofErr w:type="spellEnd"/>
            <w:r>
              <w:rPr>
                <w:sz w:val="24"/>
                <w:szCs w:val="24"/>
              </w:rPr>
              <w:t>/G en la prueba de cuantificación de plomo in vivo en los huesos de una persona realizada entre el 16 de mayo de 2014 y los 90 días posteriores a la fecha de la Orden de Aprobación Preliminar.</w:t>
            </w:r>
          </w:p>
          <w:p w14:paraId="60BE1C6B" w14:textId="77777777" w:rsidR="00E54CE6" w:rsidRPr="00E532F9" w:rsidRDefault="00E54CE6">
            <w:pPr>
              <w:jc w:val="both"/>
              <w:rPr>
                <w:rFonts w:eastAsia="Calibri" w:cs="Times New Roman"/>
                <w:sz w:val="24"/>
                <w:szCs w:val="24"/>
              </w:rPr>
            </w:pPr>
          </w:p>
          <w:p w14:paraId="78552410" w14:textId="77777777" w:rsidR="00E54CE6" w:rsidRPr="00E532F9" w:rsidRDefault="0016202A">
            <w:pPr>
              <w:jc w:val="both"/>
              <w:rPr>
                <w:rFonts w:eastAsia="Calibri" w:cs="Times New Roman"/>
                <w:b/>
                <w:bCs/>
                <w:sz w:val="24"/>
                <w:szCs w:val="24"/>
                <w:u w:val="single"/>
              </w:rPr>
            </w:pPr>
            <w:r>
              <w:rPr>
                <w:sz w:val="24"/>
                <w:szCs w:val="24"/>
              </w:rPr>
              <w:lastRenderedPageBreak/>
              <w:t xml:space="preserve"> </w:t>
            </w:r>
            <w:r>
              <w:rPr>
                <w:b/>
                <w:bCs/>
                <w:sz w:val="24"/>
                <w:szCs w:val="24"/>
                <w:u w:val="single"/>
              </w:rPr>
              <w:t>O</w:t>
            </w:r>
          </w:p>
          <w:p w14:paraId="755568EE" w14:textId="77777777" w:rsidR="00E54CE6" w:rsidRPr="00E532F9" w:rsidRDefault="00E54CE6">
            <w:pPr>
              <w:jc w:val="both"/>
              <w:rPr>
                <w:rFonts w:eastAsia="Calibri" w:cs="Times New Roman"/>
                <w:sz w:val="24"/>
                <w:szCs w:val="24"/>
              </w:rPr>
            </w:pPr>
          </w:p>
          <w:p w14:paraId="68A75AAF" w14:textId="77777777" w:rsidR="00E54CE6" w:rsidRPr="00E532F9" w:rsidRDefault="0016202A">
            <w:pPr>
              <w:jc w:val="both"/>
              <w:rPr>
                <w:rFonts w:eastAsia="Calibri" w:cs="Times New Roman"/>
                <w:b/>
                <w:sz w:val="24"/>
                <w:szCs w:val="24"/>
                <w:u w:val="single"/>
              </w:rPr>
            </w:pPr>
            <w:r>
              <w:rPr>
                <w:b/>
                <w:sz w:val="24"/>
                <w:szCs w:val="24"/>
                <w:u w:val="single"/>
              </w:rPr>
              <w:t>Déficit cognitivo:</w:t>
            </w:r>
          </w:p>
          <w:p w14:paraId="774EDEE3" w14:textId="77777777" w:rsidR="00E54CE6" w:rsidRPr="00E532F9" w:rsidRDefault="0016202A">
            <w:pPr>
              <w:jc w:val="both"/>
              <w:rPr>
                <w:rFonts w:eastAsia="Calibri" w:cs="Times New Roman"/>
                <w:sz w:val="24"/>
                <w:szCs w:val="24"/>
              </w:rPr>
            </w:pPr>
            <w:r>
              <w:rPr>
                <w:sz w:val="24"/>
                <w:szCs w:val="24"/>
              </w:rPr>
              <w:t>Personas</w:t>
            </w:r>
            <w:r>
              <w:rPr>
                <w:iCs/>
                <w:sz w:val="24"/>
                <w:szCs w:val="24"/>
              </w:rPr>
              <w:t xml:space="preserve"> de 6 años o menos en el momento de la primera exposición quienes</w:t>
            </w:r>
            <w:r>
              <w:rPr>
                <w:sz w:val="24"/>
                <w:szCs w:val="24"/>
              </w:rPr>
              <w:t>:</w:t>
            </w:r>
          </w:p>
          <w:p w14:paraId="27C99936" w14:textId="77777777" w:rsidR="00E54CE6" w:rsidRPr="00E532F9" w:rsidRDefault="00E54CE6">
            <w:pPr>
              <w:jc w:val="both"/>
              <w:rPr>
                <w:rFonts w:eastAsia="Calibri" w:cs="Times New Roman"/>
                <w:sz w:val="24"/>
                <w:szCs w:val="24"/>
              </w:rPr>
            </w:pPr>
          </w:p>
          <w:p w14:paraId="7C077213" w14:textId="77777777" w:rsidR="00E54CE6" w:rsidRPr="00E532F9" w:rsidRDefault="0016202A">
            <w:pPr>
              <w:spacing w:after="240"/>
              <w:jc w:val="both"/>
              <w:rPr>
                <w:rFonts w:eastAsia="Calibri" w:cs="Times New Roman"/>
                <w:sz w:val="24"/>
                <w:szCs w:val="24"/>
              </w:rPr>
            </w:pPr>
            <w:r>
              <w:rPr>
                <w:sz w:val="24"/>
                <w:szCs w:val="24"/>
              </w:rPr>
              <w:t>(1) Por al menos 21 días durante cualquier período de 30 días entre el 25 de abril de 2014 y el 31 de julio de 2016;</w:t>
            </w:r>
          </w:p>
          <w:p w14:paraId="44B02B5A" w14:textId="77777777" w:rsidR="00E54CE6" w:rsidRPr="00E532F9" w:rsidRDefault="0016202A">
            <w:pPr>
              <w:spacing w:after="240"/>
              <w:jc w:val="both"/>
              <w:rPr>
                <w:rFonts w:eastAsia="Calibri" w:cs="Times New Roman"/>
                <w:sz w:val="24"/>
                <w:szCs w:val="24"/>
              </w:rPr>
            </w:pPr>
            <w:r>
              <w:rPr>
                <w:sz w:val="24"/>
                <w:szCs w:val="24"/>
              </w:rPr>
              <w:t xml:space="preserve">(2) Residieron, habitaron o asistieron a escuelas o guarderías de Flint, o estuvieron expuestas de alguna forma al agua de Flint; </w:t>
            </w:r>
            <w:r>
              <w:rPr>
                <w:b/>
                <w:sz w:val="24"/>
                <w:szCs w:val="24"/>
                <w:u w:val="single"/>
              </w:rPr>
              <w:t>y</w:t>
            </w:r>
          </w:p>
          <w:p w14:paraId="357BFDA1" w14:textId="77777777" w:rsidR="00E54CE6" w:rsidRPr="00E532F9" w:rsidRDefault="0016202A">
            <w:pPr>
              <w:jc w:val="both"/>
              <w:rPr>
                <w:sz w:val="24"/>
                <w:szCs w:val="24"/>
              </w:rPr>
            </w:pPr>
            <w:r>
              <w:rPr>
                <w:sz w:val="24"/>
                <w:szCs w:val="24"/>
              </w:rPr>
              <w:t xml:space="preserve">(3) Cuentan con un informe que documenta la realización de una evaluación completa e individual con fecha posterior al 16 de mayo de 2014 a cargo de un equipo multidisciplinario de evaluación, el cual deberá incluir un pediatra y un neuropsicólogo certificados por las juntas médicas correspondientes. Dicho informe se sustenta en una batería de pruebas clínicas y científicamente validadas de evaluación neurocognitiva o neuropsicológica, incluida la Batería Automatizada de Pruebas Neuropsicológicas de Cambridge (“CANTAB”, por sus siglas en inglés), que determinan que la persona tiene una discapacidad cognitiva relacionada con el plomo, causada después del 16 de mayo de </w:t>
            </w:r>
            <w:r>
              <w:rPr>
                <w:sz w:val="24"/>
                <w:szCs w:val="24"/>
              </w:rPr>
              <w:lastRenderedPageBreak/>
              <w:t>2014 y que se define como: Discapacidad cognitiva manifestada durante el período de desarrollo de la persona de 6 años o menos, expuesta al agua de Flint durante dicho período, tal como se determina a través de las pruebas y la demostración de las siguientes características de comportamiento:  Una (i) tasa de desarrollo de desviaciones estándar de 1.0 o más por debajo de la media, según se determine a través de una evaluación del dominio de funcionamiento intelectual o (</w:t>
            </w:r>
            <w:proofErr w:type="spellStart"/>
            <w:r>
              <w:rPr>
                <w:sz w:val="24"/>
                <w:szCs w:val="24"/>
              </w:rPr>
              <w:t>ii</w:t>
            </w:r>
            <w:proofErr w:type="spellEnd"/>
            <w:r>
              <w:rPr>
                <w:sz w:val="24"/>
                <w:szCs w:val="24"/>
              </w:rPr>
              <w:t>) puntuaciones aproximadamente dentro de los seis percentiles más bajos de una prueba estandarizada de lectura y aritmética (este requisito no se exigirá si la persona no tiene una edad, un grado o edad mental adecuados para la realización de pruebas formales o estandarizadas).  O bien, una demostración de cualquiera de las dos siguientes características de comportamiento: (</w:t>
            </w:r>
            <w:proofErr w:type="spellStart"/>
            <w:r>
              <w:rPr>
                <w:sz w:val="24"/>
                <w:szCs w:val="24"/>
              </w:rPr>
              <w:t>iii</w:t>
            </w:r>
            <w:proofErr w:type="spellEnd"/>
            <w:r>
              <w:rPr>
                <w:sz w:val="24"/>
                <w:szCs w:val="24"/>
              </w:rPr>
              <w:t>) falta de desarrollo normalmente aceptado principalmente en el dominio cognitivo; (</w:t>
            </w:r>
            <w:proofErr w:type="spellStart"/>
            <w:r>
              <w:rPr>
                <w:sz w:val="24"/>
                <w:szCs w:val="24"/>
              </w:rPr>
              <w:t>iv</w:t>
            </w:r>
            <w:proofErr w:type="spellEnd"/>
            <w:r>
              <w:rPr>
                <w:sz w:val="24"/>
                <w:szCs w:val="24"/>
              </w:rPr>
              <w:t xml:space="preserve">) discapacidad de la conducta adaptativa y (v) discapacidad que afecta negativamente el rendimiento académico de una persona. El informe que determina que la persona tiene una discapacidad cognitiva debe contar con la firma y verificación de un médico (PhD y/o M.D.) especialista calificado donde conste que dicho informe es fidedigno y exacto.  La Batería Automatizada de Pruebas </w:t>
            </w:r>
            <w:r>
              <w:rPr>
                <w:sz w:val="24"/>
                <w:szCs w:val="24"/>
              </w:rPr>
              <w:lastRenderedPageBreak/>
              <w:t xml:space="preserve">Neuropsicológicas de Cambridge mencionada anteriormente deberá incluir conclusiones cognitivas de la Prueba del Tiempo de Reacción (RTI), la Prueba del </w:t>
            </w:r>
            <w:proofErr w:type="spellStart"/>
            <w:r>
              <w:rPr>
                <w:i/>
                <w:iCs/>
                <w:sz w:val="24"/>
                <w:szCs w:val="24"/>
              </w:rPr>
              <w:t>Span</w:t>
            </w:r>
            <w:proofErr w:type="spellEnd"/>
            <w:r>
              <w:rPr>
                <w:sz w:val="24"/>
                <w:szCs w:val="24"/>
              </w:rPr>
              <w:t xml:space="preserve"> de Memoria Espacial (SSP), la Prueba </w:t>
            </w:r>
            <w:proofErr w:type="spellStart"/>
            <w:r>
              <w:rPr>
                <w:i/>
                <w:iCs/>
                <w:sz w:val="24"/>
                <w:szCs w:val="24"/>
              </w:rPr>
              <w:t>Stockings</w:t>
            </w:r>
            <w:proofErr w:type="spellEnd"/>
            <w:r>
              <w:rPr>
                <w:i/>
                <w:iCs/>
                <w:sz w:val="24"/>
                <w:szCs w:val="24"/>
              </w:rPr>
              <w:t xml:space="preserve"> of Cambridge</w:t>
            </w:r>
            <w:r>
              <w:rPr>
                <w:sz w:val="24"/>
                <w:szCs w:val="24"/>
              </w:rPr>
              <w:t xml:space="preserve"> (SOC) de resolución de problemas y la Prueba de Cambio Dimensional (IED) de control de la atención.  </w:t>
            </w:r>
          </w:p>
          <w:p w14:paraId="70BDCC79" w14:textId="77777777" w:rsidR="00E54CE6" w:rsidRPr="00E532F9" w:rsidRDefault="00E54CE6">
            <w:pPr>
              <w:jc w:val="both"/>
              <w:rPr>
                <w:sz w:val="24"/>
                <w:szCs w:val="24"/>
              </w:rPr>
            </w:pPr>
          </w:p>
          <w:p w14:paraId="3C5A26A2" w14:textId="77777777" w:rsidR="00E54CE6" w:rsidRPr="00E532F9" w:rsidRDefault="0016202A">
            <w:pPr>
              <w:jc w:val="both"/>
              <w:rPr>
                <w:b/>
                <w:sz w:val="24"/>
                <w:szCs w:val="24"/>
                <w:u w:val="single"/>
              </w:rPr>
            </w:pPr>
            <w:r>
              <w:rPr>
                <w:b/>
                <w:sz w:val="24"/>
                <w:szCs w:val="24"/>
                <w:u w:val="single"/>
              </w:rPr>
              <w:t>O</w:t>
            </w:r>
          </w:p>
          <w:p w14:paraId="6988E53F" w14:textId="77777777" w:rsidR="00E54CE6" w:rsidRPr="00E532F9" w:rsidRDefault="00E54CE6">
            <w:pPr>
              <w:jc w:val="both"/>
              <w:rPr>
                <w:sz w:val="24"/>
                <w:szCs w:val="24"/>
              </w:rPr>
            </w:pPr>
          </w:p>
          <w:p w14:paraId="43CF9E45" w14:textId="77777777" w:rsidR="00E54CE6" w:rsidRPr="00E532F9" w:rsidRDefault="0016202A">
            <w:pPr>
              <w:jc w:val="both"/>
              <w:rPr>
                <w:b/>
                <w:sz w:val="24"/>
                <w:szCs w:val="24"/>
                <w:u w:val="single"/>
              </w:rPr>
            </w:pPr>
            <w:r>
              <w:rPr>
                <w:b/>
                <w:sz w:val="24"/>
                <w:szCs w:val="24"/>
                <w:u w:val="single"/>
              </w:rPr>
              <w:t>Infantes prematuros o con peso bajo al nacer:</w:t>
            </w:r>
          </w:p>
          <w:p w14:paraId="0EF784A0" w14:textId="77777777" w:rsidR="00E54CE6" w:rsidRPr="00E532F9" w:rsidRDefault="0016202A">
            <w:pPr>
              <w:jc w:val="both"/>
              <w:rPr>
                <w:sz w:val="24"/>
                <w:szCs w:val="24"/>
              </w:rPr>
            </w:pPr>
            <w:r>
              <w:rPr>
                <w:sz w:val="24"/>
                <w:szCs w:val="24"/>
              </w:rPr>
              <w:t>Infantes cuyas madres:</w:t>
            </w:r>
          </w:p>
          <w:p w14:paraId="48A7B382" w14:textId="77777777" w:rsidR="00E54CE6" w:rsidRPr="00E532F9" w:rsidRDefault="00E54CE6">
            <w:pPr>
              <w:jc w:val="both"/>
              <w:rPr>
                <w:sz w:val="24"/>
                <w:szCs w:val="24"/>
              </w:rPr>
            </w:pPr>
          </w:p>
          <w:p w14:paraId="649E63B5" w14:textId="77777777" w:rsidR="00E54CE6" w:rsidRPr="00E532F9" w:rsidRDefault="0016202A">
            <w:pPr>
              <w:jc w:val="both"/>
              <w:rPr>
                <w:sz w:val="24"/>
                <w:szCs w:val="24"/>
              </w:rPr>
            </w:pPr>
            <w:r>
              <w:rPr>
                <w:sz w:val="24"/>
                <w:szCs w:val="24"/>
              </w:rPr>
              <w:t>(1) Por al menos 21 días durante cualquier período de 30 días entre el 25 de abril de 2014 y el 31 de julio de 2016;</w:t>
            </w:r>
          </w:p>
          <w:p w14:paraId="2B63FCA8" w14:textId="77777777" w:rsidR="00E54CE6" w:rsidRPr="00E532F9" w:rsidRDefault="00E54CE6">
            <w:pPr>
              <w:jc w:val="both"/>
              <w:rPr>
                <w:sz w:val="24"/>
                <w:szCs w:val="24"/>
              </w:rPr>
            </w:pPr>
          </w:p>
          <w:p w14:paraId="35E09412" w14:textId="77777777" w:rsidR="00E54CE6" w:rsidRPr="00E532F9" w:rsidRDefault="0016202A">
            <w:pPr>
              <w:jc w:val="both"/>
              <w:rPr>
                <w:b/>
                <w:sz w:val="24"/>
                <w:szCs w:val="24"/>
                <w:u w:val="single"/>
              </w:rPr>
            </w:pPr>
            <w:r>
              <w:rPr>
                <w:sz w:val="24"/>
                <w:szCs w:val="24"/>
              </w:rPr>
              <w:t xml:space="preserve">(2) Residieron, habitaron o asistieron a la escuela o trabajaron en Flint, o estuvieron expuestas de alguna forma al agua de Flint; </w:t>
            </w:r>
            <w:r>
              <w:rPr>
                <w:b/>
                <w:sz w:val="24"/>
                <w:szCs w:val="24"/>
                <w:u w:val="single"/>
              </w:rPr>
              <w:t>y</w:t>
            </w:r>
          </w:p>
          <w:p w14:paraId="039D449E" w14:textId="77777777" w:rsidR="00E54CE6" w:rsidRPr="00E532F9" w:rsidRDefault="00E54CE6">
            <w:pPr>
              <w:jc w:val="both"/>
              <w:rPr>
                <w:sz w:val="24"/>
                <w:szCs w:val="24"/>
              </w:rPr>
            </w:pPr>
          </w:p>
          <w:p w14:paraId="435E1F37" w14:textId="77777777" w:rsidR="00E54CE6" w:rsidRPr="00E532F9" w:rsidRDefault="0016202A">
            <w:pPr>
              <w:jc w:val="both"/>
              <w:rPr>
                <w:sz w:val="24"/>
                <w:szCs w:val="24"/>
              </w:rPr>
            </w:pPr>
            <w:r>
              <w:rPr>
                <w:sz w:val="24"/>
                <w:szCs w:val="24"/>
              </w:rPr>
              <w:t xml:space="preserve">(3) Dieron a luz y el infante nació: (a) prematuro entre el 16 de mayo de 2014 y el 30 de abril de 2017; </w:t>
            </w:r>
            <w:r>
              <w:rPr>
                <w:b/>
                <w:sz w:val="24"/>
                <w:szCs w:val="24"/>
                <w:u w:val="single"/>
              </w:rPr>
              <w:t>o</w:t>
            </w:r>
            <w:r>
              <w:rPr>
                <w:sz w:val="24"/>
                <w:szCs w:val="24"/>
              </w:rPr>
              <w:t xml:space="preserve"> (b) con peso bajo al nacer entre el 16 de mayo de 2014 y el 30 de abril de 2017.</w:t>
            </w:r>
          </w:p>
          <w:p w14:paraId="0CE05534" w14:textId="77777777" w:rsidR="00E54CE6" w:rsidRPr="00E532F9" w:rsidRDefault="00E54CE6">
            <w:pPr>
              <w:jc w:val="both"/>
              <w:rPr>
                <w:rFonts w:eastAsia="Calibri" w:cs="Times New Roman"/>
                <w:sz w:val="24"/>
                <w:szCs w:val="24"/>
              </w:rPr>
            </w:pPr>
          </w:p>
        </w:tc>
        <w:tc>
          <w:tcPr>
            <w:tcW w:w="4317" w:type="dxa"/>
          </w:tcPr>
          <w:p w14:paraId="153165AA" w14:textId="77777777" w:rsidR="00E54CE6" w:rsidRPr="00E532F9" w:rsidRDefault="0016202A">
            <w:pPr>
              <w:jc w:val="center"/>
              <w:rPr>
                <w:rFonts w:eastAsia="Calibri" w:cs="Times New Roman"/>
                <w:b/>
                <w:color w:val="0070C0"/>
                <w:sz w:val="24"/>
                <w:szCs w:val="24"/>
              </w:rPr>
            </w:pPr>
            <w:r>
              <w:rPr>
                <w:b/>
                <w:color w:val="0D0D0D"/>
                <w:sz w:val="24"/>
                <w:szCs w:val="24"/>
                <w:u w:val="single"/>
              </w:rPr>
              <w:lastRenderedPageBreak/>
              <w:t>Prestaciones Pecuniarias</w:t>
            </w:r>
          </w:p>
          <w:p w14:paraId="2315DFF6" w14:textId="77777777" w:rsidR="00E54CE6" w:rsidRPr="00E532F9" w:rsidRDefault="00E54CE6">
            <w:pPr>
              <w:jc w:val="center"/>
              <w:rPr>
                <w:rFonts w:eastAsia="Calibri" w:cs="Times New Roman"/>
                <w:b/>
                <w:color w:val="0070C0"/>
                <w:sz w:val="24"/>
                <w:szCs w:val="24"/>
              </w:rPr>
            </w:pPr>
          </w:p>
          <w:p w14:paraId="193D927F" w14:textId="77777777" w:rsidR="00E54CE6" w:rsidRPr="00E532F9" w:rsidRDefault="0016202A">
            <w:pPr>
              <w:jc w:val="center"/>
              <w:rPr>
                <w:rFonts w:eastAsia="Calibri" w:cs="Times New Roman"/>
                <w:b/>
                <w:color w:val="0070C0"/>
                <w:sz w:val="24"/>
                <w:szCs w:val="24"/>
              </w:rPr>
            </w:pPr>
            <w:r>
              <w:rPr>
                <w:b/>
                <w:color w:val="0070C0"/>
                <w:sz w:val="24"/>
                <w:szCs w:val="24"/>
              </w:rPr>
              <w:t>x</w:t>
            </w:r>
          </w:p>
          <w:p w14:paraId="6A29D977" w14:textId="77777777" w:rsidR="00E54CE6" w:rsidRPr="00E532F9" w:rsidRDefault="00E54CE6">
            <w:pPr>
              <w:rPr>
                <w:rFonts w:eastAsia="Calibri" w:cs="Times New Roman"/>
                <w:b/>
                <w:color w:val="0070C0"/>
                <w:sz w:val="24"/>
                <w:szCs w:val="24"/>
              </w:rPr>
            </w:pPr>
          </w:p>
          <w:p w14:paraId="6288A76F" w14:textId="77777777" w:rsidR="00E54CE6" w:rsidRPr="00E532F9" w:rsidRDefault="00E54CE6">
            <w:pPr>
              <w:rPr>
                <w:rFonts w:eastAsia="Calibri" w:cs="Times New Roman"/>
                <w:b/>
                <w:color w:val="0070C0"/>
                <w:sz w:val="24"/>
                <w:szCs w:val="24"/>
              </w:rPr>
            </w:pPr>
          </w:p>
          <w:p w14:paraId="2F8C3B2C" w14:textId="77777777" w:rsidR="00E54CE6" w:rsidRPr="00E532F9" w:rsidRDefault="00E54CE6">
            <w:pPr>
              <w:rPr>
                <w:rFonts w:eastAsia="Calibri" w:cs="Times New Roman"/>
                <w:b/>
                <w:color w:val="0070C0"/>
                <w:sz w:val="24"/>
                <w:szCs w:val="24"/>
              </w:rPr>
            </w:pPr>
          </w:p>
          <w:p w14:paraId="31C6C567" w14:textId="77777777" w:rsidR="00E54CE6" w:rsidRPr="00E532F9" w:rsidRDefault="00E54CE6">
            <w:pPr>
              <w:rPr>
                <w:rFonts w:eastAsia="Calibri" w:cs="Times New Roman"/>
                <w:b/>
                <w:color w:val="0070C0"/>
                <w:sz w:val="24"/>
                <w:szCs w:val="24"/>
              </w:rPr>
            </w:pPr>
          </w:p>
          <w:p w14:paraId="318FBFA9" w14:textId="77777777" w:rsidR="00E54CE6" w:rsidRPr="00E532F9" w:rsidRDefault="00E54CE6">
            <w:pPr>
              <w:rPr>
                <w:rFonts w:eastAsia="Calibri" w:cs="Times New Roman"/>
                <w:b/>
                <w:color w:val="0070C0"/>
                <w:sz w:val="24"/>
                <w:szCs w:val="24"/>
              </w:rPr>
            </w:pPr>
          </w:p>
          <w:p w14:paraId="72B8758E" w14:textId="77777777" w:rsidR="00E54CE6" w:rsidRPr="00E532F9" w:rsidRDefault="00E54CE6">
            <w:pPr>
              <w:rPr>
                <w:rFonts w:eastAsia="Calibri" w:cs="Times New Roman"/>
                <w:b/>
                <w:color w:val="0070C0"/>
                <w:sz w:val="24"/>
                <w:szCs w:val="24"/>
              </w:rPr>
            </w:pPr>
          </w:p>
          <w:p w14:paraId="2982CD83" w14:textId="77777777" w:rsidR="00E54CE6" w:rsidRPr="00E532F9" w:rsidRDefault="00E54CE6">
            <w:pPr>
              <w:rPr>
                <w:rFonts w:eastAsia="Calibri" w:cs="Times New Roman"/>
                <w:b/>
                <w:color w:val="0070C0"/>
                <w:sz w:val="24"/>
                <w:szCs w:val="24"/>
              </w:rPr>
            </w:pPr>
          </w:p>
          <w:p w14:paraId="1A12D70F" w14:textId="77777777" w:rsidR="00E54CE6" w:rsidRPr="00E532F9" w:rsidRDefault="00E54CE6">
            <w:pPr>
              <w:rPr>
                <w:rFonts w:eastAsia="Calibri" w:cs="Times New Roman"/>
                <w:b/>
                <w:color w:val="0070C0"/>
                <w:sz w:val="24"/>
                <w:szCs w:val="24"/>
              </w:rPr>
            </w:pPr>
          </w:p>
          <w:p w14:paraId="5FD12454" w14:textId="77777777" w:rsidR="00E54CE6" w:rsidRPr="00E532F9" w:rsidRDefault="00E54CE6">
            <w:pPr>
              <w:rPr>
                <w:rFonts w:eastAsia="Calibri" w:cs="Times New Roman"/>
                <w:b/>
                <w:color w:val="0070C0"/>
                <w:sz w:val="24"/>
                <w:szCs w:val="24"/>
              </w:rPr>
            </w:pPr>
          </w:p>
          <w:p w14:paraId="756B8819" w14:textId="77777777" w:rsidR="00E54CE6" w:rsidRPr="00E532F9" w:rsidRDefault="00E54CE6">
            <w:pPr>
              <w:rPr>
                <w:rFonts w:eastAsia="Calibri" w:cs="Times New Roman"/>
                <w:b/>
                <w:color w:val="0070C0"/>
                <w:sz w:val="24"/>
                <w:szCs w:val="24"/>
              </w:rPr>
            </w:pPr>
          </w:p>
          <w:p w14:paraId="39512244" w14:textId="77777777" w:rsidR="00E54CE6" w:rsidRPr="00E532F9" w:rsidRDefault="00E54CE6">
            <w:pPr>
              <w:rPr>
                <w:rFonts w:eastAsia="Calibri" w:cs="Times New Roman"/>
                <w:b/>
                <w:color w:val="0070C0"/>
                <w:sz w:val="24"/>
                <w:szCs w:val="24"/>
              </w:rPr>
            </w:pPr>
          </w:p>
          <w:p w14:paraId="789C55DA" w14:textId="77777777" w:rsidR="00E54CE6" w:rsidRPr="00E532F9" w:rsidRDefault="00E54CE6">
            <w:pPr>
              <w:rPr>
                <w:rFonts w:eastAsia="Calibri" w:cs="Times New Roman"/>
                <w:b/>
                <w:color w:val="0070C0"/>
                <w:sz w:val="24"/>
                <w:szCs w:val="24"/>
              </w:rPr>
            </w:pPr>
          </w:p>
          <w:p w14:paraId="20969385" w14:textId="77777777" w:rsidR="00E54CE6" w:rsidRPr="00E532F9" w:rsidRDefault="00E54CE6">
            <w:pPr>
              <w:rPr>
                <w:rFonts w:eastAsia="Calibri" w:cs="Times New Roman"/>
                <w:b/>
                <w:color w:val="0070C0"/>
                <w:sz w:val="24"/>
                <w:szCs w:val="24"/>
              </w:rPr>
            </w:pPr>
          </w:p>
          <w:p w14:paraId="4BA60A97" w14:textId="77777777" w:rsidR="00E54CE6" w:rsidRPr="00E532F9" w:rsidRDefault="00E54CE6">
            <w:pPr>
              <w:rPr>
                <w:rFonts w:eastAsia="Calibri" w:cs="Times New Roman"/>
                <w:b/>
                <w:color w:val="0070C0"/>
                <w:sz w:val="24"/>
                <w:szCs w:val="24"/>
              </w:rPr>
            </w:pPr>
          </w:p>
          <w:p w14:paraId="3BF12251" w14:textId="77777777" w:rsidR="00E54CE6" w:rsidRPr="00E532F9" w:rsidRDefault="00E54CE6">
            <w:pPr>
              <w:rPr>
                <w:rFonts w:eastAsia="Calibri" w:cs="Times New Roman"/>
                <w:b/>
                <w:color w:val="0070C0"/>
                <w:sz w:val="24"/>
                <w:szCs w:val="24"/>
              </w:rPr>
            </w:pPr>
          </w:p>
          <w:p w14:paraId="2CBE40A3" w14:textId="77777777" w:rsidR="00E54CE6" w:rsidRPr="00E532F9" w:rsidRDefault="00E54CE6">
            <w:pPr>
              <w:rPr>
                <w:rFonts w:eastAsia="Calibri" w:cs="Times New Roman"/>
                <w:b/>
                <w:color w:val="0070C0"/>
                <w:sz w:val="24"/>
                <w:szCs w:val="24"/>
              </w:rPr>
            </w:pPr>
          </w:p>
          <w:p w14:paraId="19C2846F" w14:textId="77777777" w:rsidR="00E54CE6" w:rsidRPr="00E532F9" w:rsidRDefault="00E54CE6">
            <w:pPr>
              <w:rPr>
                <w:rFonts w:eastAsia="Calibri" w:cs="Times New Roman"/>
                <w:b/>
                <w:color w:val="0070C0"/>
                <w:sz w:val="24"/>
                <w:szCs w:val="24"/>
              </w:rPr>
            </w:pPr>
          </w:p>
          <w:p w14:paraId="565F5A48" w14:textId="77777777" w:rsidR="00E54CE6" w:rsidRPr="00E532F9" w:rsidRDefault="00E54CE6">
            <w:pPr>
              <w:rPr>
                <w:rFonts w:eastAsia="Calibri" w:cs="Times New Roman"/>
                <w:b/>
                <w:color w:val="0070C0"/>
                <w:sz w:val="24"/>
                <w:szCs w:val="24"/>
              </w:rPr>
            </w:pPr>
          </w:p>
          <w:p w14:paraId="231772B2" w14:textId="77777777" w:rsidR="00E54CE6" w:rsidRPr="00E532F9" w:rsidRDefault="00E54CE6">
            <w:pPr>
              <w:rPr>
                <w:rFonts w:eastAsia="Calibri" w:cs="Times New Roman"/>
                <w:b/>
                <w:color w:val="0070C0"/>
                <w:sz w:val="24"/>
                <w:szCs w:val="24"/>
              </w:rPr>
            </w:pPr>
          </w:p>
          <w:p w14:paraId="5597D7C7" w14:textId="77777777" w:rsidR="00E54CE6" w:rsidRPr="00E532F9" w:rsidRDefault="00E54CE6">
            <w:pPr>
              <w:rPr>
                <w:rFonts w:eastAsia="Calibri" w:cs="Times New Roman"/>
                <w:b/>
                <w:color w:val="0070C0"/>
                <w:sz w:val="24"/>
                <w:szCs w:val="24"/>
              </w:rPr>
            </w:pPr>
          </w:p>
          <w:p w14:paraId="3D3DC137" w14:textId="77777777" w:rsidR="00E54CE6" w:rsidRPr="00E532F9" w:rsidRDefault="00E54CE6">
            <w:pPr>
              <w:rPr>
                <w:rFonts w:eastAsia="Calibri" w:cs="Times New Roman"/>
                <w:b/>
                <w:color w:val="0070C0"/>
                <w:sz w:val="24"/>
                <w:szCs w:val="24"/>
              </w:rPr>
            </w:pPr>
          </w:p>
          <w:p w14:paraId="052A1F3E" w14:textId="77777777" w:rsidR="00E54CE6" w:rsidRPr="00E532F9" w:rsidRDefault="00E54CE6">
            <w:pPr>
              <w:rPr>
                <w:rFonts w:eastAsia="Calibri" w:cs="Times New Roman"/>
                <w:b/>
                <w:color w:val="0070C0"/>
                <w:sz w:val="24"/>
                <w:szCs w:val="24"/>
              </w:rPr>
            </w:pPr>
          </w:p>
          <w:p w14:paraId="3BFD5335" w14:textId="77777777" w:rsidR="00E54CE6" w:rsidRPr="00E532F9" w:rsidRDefault="00E54CE6">
            <w:pPr>
              <w:rPr>
                <w:rFonts w:eastAsia="Calibri" w:cs="Times New Roman"/>
                <w:b/>
                <w:color w:val="0070C0"/>
                <w:sz w:val="24"/>
                <w:szCs w:val="24"/>
              </w:rPr>
            </w:pPr>
          </w:p>
          <w:p w14:paraId="006DEF40" w14:textId="77777777" w:rsidR="00E54CE6" w:rsidRPr="00E532F9" w:rsidRDefault="00E54CE6">
            <w:pPr>
              <w:rPr>
                <w:rFonts w:eastAsia="Calibri" w:cs="Times New Roman"/>
                <w:b/>
                <w:color w:val="0070C0"/>
                <w:sz w:val="24"/>
                <w:szCs w:val="24"/>
              </w:rPr>
            </w:pPr>
          </w:p>
          <w:p w14:paraId="1480194F" w14:textId="77777777" w:rsidR="00E54CE6" w:rsidRPr="00E532F9" w:rsidRDefault="00E54CE6">
            <w:pPr>
              <w:rPr>
                <w:rFonts w:eastAsia="Calibri" w:cs="Times New Roman"/>
                <w:b/>
                <w:color w:val="0070C0"/>
                <w:sz w:val="24"/>
                <w:szCs w:val="24"/>
              </w:rPr>
            </w:pPr>
          </w:p>
          <w:p w14:paraId="1157A1E0" w14:textId="77777777" w:rsidR="00E54CE6" w:rsidRPr="00E532F9" w:rsidRDefault="00E54CE6">
            <w:pPr>
              <w:rPr>
                <w:rFonts w:eastAsia="Calibri" w:cs="Times New Roman"/>
                <w:b/>
                <w:color w:val="0070C0"/>
                <w:sz w:val="24"/>
                <w:szCs w:val="24"/>
              </w:rPr>
            </w:pPr>
          </w:p>
          <w:p w14:paraId="69E9D9DD" w14:textId="77777777" w:rsidR="00E54CE6" w:rsidRPr="00E532F9" w:rsidRDefault="00E54CE6">
            <w:pPr>
              <w:rPr>
                <w:rFonts w:eastAsia="Calibri" w:cs="Times New Roman"/>
                <w:b/>
                <w:color w:val="0070C0"/>
                <w:sz w:val="24"/>
                <w:szCs w:val="24"/>
              </w:rPr>
            </w:pPr>
          </w:p>
          <w:p w14:paraId="4B57E06B" w14:textId="77777777" w:rsidR="00E54CE6" w:rsidRPr="00E532F9" w:rsidRDefault="00E54CE6">
            <w:pPr>
              <w:rPr>
                <w:rFonts w:eastAsia="Calibri" w:cs="Times New Roman"/>
                <w:b/>
                <w:color w:val="0070C0"/>
                <w:sz w:val="24"/>
                <w:szCs w:val="24"/>
              </w:rPr>
            </w:pPr>
          </w:p>
          <w:p w14:paraId="05494509" w14:textId="77777777" w:rsidR="00E54CE6" w:rsidRPr="00E532F9" w:rsidRDefault="00E54CE6">
            <w:pPr>
              <w:rPr>
                <w:rFonts w:eastAsia="Calibri" w:cs="Times New Roman"/>
                <w:b/>
                <w:color w:val="0070C0"/>
                <w:sz w:val="24"/>
                <w:szCs w:val="24"/>
              </w:rPr>
            </w:pPr>
          </w:p>
          <w:p w14:paraId="66EA2DC7" w14:textId="77777777" w:rsidR="00E54CE6" w:rsidRPr="00E532F9" w:rsidRDefault="00E54CE6">
            <w:pPr>
              <w:rPr>
                <w:rFonts w:eastAsia="Calibri" w:cs="Times New Roman"/>
                <w:b/>
                <w:color w:val="0070C0"/>
                <w:sz w:val="24"/>
                <w:szCs w:val="24"/>
              </w:rPr>
            </w:pPr>
          </w:p>
          <w:p w14:paraId="40EB1E62" w14:textId="77777777" w:rsidR="00E54CE6" w:rsidRPr="00E532F9" w:rsidRDefault="00E54CE6">
            <w:pPr>
              <w:rPr>
                <w:rFonts w:eastAsia="Calibri" w:cs="Times New Roman"/>
                <w:b/>
                <w:color w:val="0070C0"/>
                <w:sz w:val="24"/>
                <w:szCs w:val="24"/>
              </w:rPr>
            </w:pPr>
          </w:p>
          <w:p w14:paraId="16F96F72" w14:textId="77777777" w:rsidR="00E54CE6" w:rsidRPr="00E532F9" w:rsidRDefault="00E54CE6">
            <w:pPr>
              <w:rPr>
                <w:rFonts w:eastAsia="Calibri" w:cs="Times New Roman"/>
                <w:b/>
                <w:color w:val="0070C0"/>
                <w:sz w:val="24"/>
                <w:szCs w:val="24"/>
              </w:rPr>
            </w:pPr>
          </w:p>
          <w:p w14:paraId="7A3513B8" w14:textId="77777777" w:rsidR="00E54CE6" w:rsidRPr="00E532F9" w:rsidRDefault="00E54CE6">
            <w:pPr>
              <w:rPr>
                <w:rFonts w:eastAsia="Calibri" w:cs="Times New Roman"/>
                <w:b/>
                <w:color w:val="0070C0"/>
                <w:sz w:val="24"/>
                <w:szCs w:val="24"/>
              </w:rPr>
            </w:pPr>
          </w:p>
          <w:p w14:paraId="61427998" w14:textId="77777777" w:rsidR="00E54CE6" w:rsidRPr="00E532F9" w:rsidRDefault="00E54CE6">
            <w:pPr>
              <w:rPr>
                <w:rFonts w:eastAsia="Calibri" w:cs="Times New Roman"/>
                <w:b/>
                <w:color w:val="0070C0"/>
                <w:sz w:val="24"/>
                <w:szCs w:val="24"/>
              </w:rPr>
            </w:pPr>
          </w:p>
          <w:p w14:paraId="4E3FB0E2" w14:textId="77777777" w:rsidR="00E54CE6" w:rsidRPr="00E532F9" w:rsidRDefault="00E54CE6">
            <w:pPr>
              <w:rPr>
                <w:rFonts w:eastAsia="Calibri" w:cs="Times New Roman"/>
                <w:b/>
                <w:color w:val="0070C0"/>
                <w:sz w:val="24"/>
                <w:szCs w:val="24"/>
              </w:rPr>
            </w:pPr>
          </w:p>
          <w:p w14:paraId="7C71A0D2" w14:textId="77777777" w:rsidR="00E54CE6" w:rsidRPr="00E532F9" w:rsidRDefault="00E54CE6">
            <w:pPr>
              <w:rPr>
                <w:rFonts w:eastAsia="Calibri" w:cs="Times New Roman"/>
                <w:b/>
                <w:color w:val="0070C0"/>
                <w:sz w:val="24"/>
                <w:szCs w:val="24"/>
              </w:rPr>
            </w:pPr>
          </w:p>
          <w:p w14:paraId="2E338683" w14:textId="77777777" w:rsidR="00E54CE6" w:rsidRPr="00E532F9" w:rsidRDefault="00E54CE6">
            <w:pPr>
              <w:rPr>
                <w:rFonts w:eastAsia="Calibri" w:cs="Times New Roman"/>
                <w:b/>
                <w:color w:val="0070C0"/>
                <w:sz w:val="24"/>
                <w:szCs w:val="24"/>
              </w:rPr>
            </w:pPr>
          </w:p>
          <w:p w14:paraId="09BC0A90" w14:textId="77777777" w:rsidR="00E54CE6" w:rsidRPr="00E532F9" w:rsidRDefault="00E54CE6">
            <w:pPr>
              <w:rPr>
                <w:rFonts w:eastAsia="Calibri" w:cs="Times New Roman"/>
                <w:b/>
                <w:color w:val="0070C0"/>
                <w:sz w:val="24"/>
                <w:szCs w:val="24"/>
              </w:rPr>
            </w:pPr>
          </w:p>
          <w:p w14:paraId="0DEDE7EB" w14:textId="77777777" w:rsidR="00E54CE6" w:rsidRPr="00E532F9" w:rsidRDefault="00E54CE6">
            <w:pPr>
              <w:rPr>
                <w:rFonts w:eastAsia="Calibri" w:cs="Times New Roman"/>
                <w:b/>
                <w:color w:val="0070C0"/>
                <w:sz w:val="24"/>
                <w:szCs w:val="24"/>
              </w:rPr>
            </w:pPr>
          </w:p>
          <w:p w14:paraId="7AE6DF49" w14:textId="77777777" w:rsidR="00E54CE6" w:rsidRPr="00E532F9" w:rsidRDefault="00E54CE6">
            <w:pPr>
              <w:rPr>
                <w:rFonts w:eastAsia="Calibri" w:cs="Times New Roman"/>
                <w:b/>
                <w:color w:val="0070C0"/>
                <w:sz w:val="24"/>
                <w:szCs w:val="24"/>
              </w:rPr>
            </w:pPr>
          </w:p>
          <w:p w14:paraId="0610E736" w14:textId="77777777" w:rsidR="00E54CE6" w:rsidRPr="00E532F9" w:rsidRDefault="00E54CE6">
            <w:pPr>
              <w:rPr>
                <w:rFonts w:eastAsia="Calibri" w:cs="Times New Roman"/>
                <w:b/>
                <w:color w:val="0070C0"/>
                <w:sz w:val="24"/>
                <w:szCs w:val="24"/>
              </w:rPr>
            </w:pPr>
          </w:p>
          <w:p w14:paraId="5182C77A" w14:textId="77777777" w:rsidR="00E54CE6" w:rsidRPr="00E532F9" w:rsidRDefault="00E54CE6">
            <w:pPr>
              <w:rPr>
                <w:rFonts w:eastAsia="Calibri" w:cs="Times New Roman"/>
                <w:b/>
                <w:color w:val="0070C0"/>
                <w:sz w:val="24"/>
                <w:szCs w:val="24"/>
              </w:rPr>
            </w:pPr>
          </w:p>
          <w:p w14:paraId="212B6A64" w14:textId="77777777" w:rsidR="00E54CE6" w:rsidRPr="00E532F9" w:rsidRDefault="00E54CE6">
            <w:pPr>
              <w:rPr>
                <w:rFonts w:eastAsia="Calibri" w:cs="Times New Roman"/>
                <w:b/>
                <w:color w:val="0070C0"/>
                <w:sz w:val="24"/>
                <w:szCs w:val="24"/>
              </w:rPr>
            </w:pPr>
          </w:p>
          <w:p w14:paraId="199D345B" w14:textId="77777777" w:rsidR="00E54CE6" w:rsidRPr="00E532F9" w:rsidRDefault="00E54CE6">
            <w:pPr>
              <w:rPr>
                <w:rFonts w:eastAsia="Calibri" w:cs="Times New Roman"/>
                <w:b/>
                <w:color w:val="0070C0"/>
                <w:sz w:val="24"/>
                <w:szCs w:val="24"/>
              </w:rPr>
            </w:pPr>
          </w:p>
          <w:p w14:paraId="3EEE391C" w14:textId="77777777" w:rsidR="00E54CE6" w:rsidRPr="00E532F9" w:rsidRDefault="00E54CE6">
            <w:pPr>
              <w:rPr>
                <w:rFonts w:eastAsia="Calibri" w:cs="Times New Roman"/>
                <w:b/>
                <w:color w:val="0070C0"/>
                <w:sz w:val="24"/>
                <w:szCs w:val="24"/>
              </w:rPr>
            </w:pPr>
          </w:p>
          <w:p w14:paraId="5411CDE6" w14:textId="77777777" w:rsidR="00E54CE6" w:rsidRPr="00E532F9" w:rsidRDefault="00E54CE6">
            <w:pPr>
              <w:rPr>
                <w:rFonts w:eastAsia="Calibri" w:cs="Times New Roman"/>
                <w:b/>
                <w:color w:val="0070C0"/>
                <w:sz w:val="24"/>
                <w:szCs w:val="24"/>
              </w:rPr>
            </w:pPr>
          </w:p>
          <w:p w14:paraId="4A14CB84" w14:textId="77777777" w:rsidR="00E54CE6" w:rsidRPr="00E532F9" w:rsidRDefault="00E54CE6">
            <w:pPr>
              <w:rPr>
                <w:rFonts w:eastAsia="Calibri" w:cs="Times New Roman"/>
              </w:rPr>
            </w:pPr>
          </w:p>
        </w:tc>
        <w:tc>
          <w:tcPr>
            <w:tcW w:w="4317" w:type="dxa"/>
          </w:tcPr>
          <w:p w14:paraId="1AD0746D" w14:textId="77777777" w:rsidR="00E54CE6" w:rsidRPr="00E532F9" w:rsidRDefault="0016202A">
            <w:pPr>
              <w:jc w:val="center"/>
              <w:rPr>
                <w:rFonts w:eastAsia="Calibri" w:cs="Times New Roman"/>
                <w:sz w:val="24"/>
                <w:szCs w:val="24"/>
                <w:u w:val="single"/>
              </w:rPr>
            </w:pPr>
            <w:r>
              <w:rPr>
                <w:b/>
                <w:color w:val="0D0D0D"/>
                <w:sz w:val="24"/>
                <w:szCs w:val="24"/>
                <w:u w:val="single"/>
              </w:rPr>
              <w:lastRenderedPageBreak/>
              <w:t>Pruebas Exigidas</w:t>
            </w:r>
          </w:p>
          <w:p w14:paraId="4A0F3B89" w14:textId="77777777" w:rsidR="00E54CE6" w:rsidRPr="00E532F9" w:rsidRDefault="00E54CE6">
            <w:pPr>
              <w:rPr>
                <w:rFonts w:eastAsia="Calibri" w:cs="Times New Roman"/>
                <w:sz w:val="24"/>
                <w:szCs w:val="24"/>
                <w:u w:val="single"/>
              </w:rPr>
            </w:pPr>
          </w:p>
          <w:p w14:paraId="456BCA9D" w14:textId="77777777" w:rsidR="00E54CE6" w:rsidRPr="00E532F9" w:rsidRDefault="0016202A">
            <w:pPr>
              <w:rPr>
                <w:rFonts w:eastAsia="Calibri" w:cs="Times New Roman"/>
                <w:sz w:val="24"/>
                <w:szCs w:val="24"/>
              </w:rPr>
            </w:pPr>
            <w:r>
              <w:rPr>
                <w:sz w:val="24"/>
                <w:szCs w:val="24"/>
                <w:u w:val="single"/>
              </w:rPr>
              <w:t>Pruebas en la sangre o en los huesos</w:t>
            </w:r>
            <w:r>
              <w:rPr>
                <w:sz w:val="24"/>
                <w:szCs w:val="24"/>
              </w:rPr>
              <w:t>: tal como se describe en las pruebas exigidas para la Categoría 1.</w:t>
            </w:r>
          </w:p>
          <w:p w14:paraId="5348CCB0" w14:textId="77777777" w:rsidR="00E54CE6" w:rsidRPr="00E532F9" w:rsidRDefault="00E54CE6">
            <w:pPr>
              <w:rPr>
                <w:rFonts w:eastAsia="Calibri" w:cs="Times New Roman"/>
                <w:sz w:val="24"/>
                <w:szCs w:val="24"/>
              </w:rPr>
            </w:pPr>
          </w:p>
          <w:p w14:paraId="2AE16C1B" w14:textId="77777777" w:rsidR="00E54CE6" w:rsidRPr="00E532F9" w:rsidRDefault="0016202A">
            <w:pPr>
              <w:jc w:val="both"/>
              <w:rPr>
                <w:sz w:val="24"/>
                <w:szCs w:val="24"/>
              </w:rPr>
            </w:pPr>
            <w:r>
              <w:rPr>
                <w:sz w:val="24"/>
                <w:szCs w:val="24"/>
                <w:u w:val="single"/>
              </w:rPr>
              <w:t>Déficit cognitivo</w:t>
            </w:r>
            <w:r>
              <w:rPr>
                <w:sz w:val="24"/>
                <w:szCs w:val="24"/>
              </w:rPr>
              <w:t>: Informe exigido tal como se indica en la Descripción de la Categoría.</w:t>
            </w:r>
          </w:p>
          <w:p w14:paraId="24FD1E6D" w14:textId="77777777" w:rsidR="00E54CE6" w:rsidRPr="00E532F9" w:rsidRDefault="00E54CE6">
            <w:pPr>
              <w:autoSpaceDE w:val="0"/>
              <w:autoSpaceDN w:val="0"/>
              <w:adjustRightInd w:val="0"/>
              <w:jc w:val="both"/>
              <w:rPr>
                <w:rFonts w:eastAsia="Calibri" w:cs="Times New Roman"/>
                <w:sz w:val="24"/>
                <w:szCs w:val="24"/>
                <w:u w:val="single"/>
              </w:rPr>
            </w:pPr>
          </w:p>
          <w:p w14:paraId="1D85148A" w14:textId="77777777" w:rsidR="00E54CE6" w:rsidRPr="00E532F9" w:rsidRDefault="0016202A">
            <w:pPr>
              <w:pStyle w:val="ListParagraph"/>
              <w:autoSpaceDE w:val="0"/>
              <w:autoSpaceDN w:val="0"/>
              <w:adjustRightInd w:val="0"/>
              <w:ind w:left="0"/>
              <w:contextualSpacing w:val="0"/>
              <w:jc w:val="both"/>
              <w:rPr>
                <w:rFonts w:cs="Times New Roman"/>
                <w:sz w:val="24"/>
                <w:szCs w:val="24"/>
              </w:rPr>
            </w:pPr>
            <w:r>
              <w:rPr>
                <w:sz w:val="24"/>
                <w:szCs w:val="24"/>
                <w:u w:val="single"/>
              </w:rPr>
              <w:t>Infantes prematuros o con peso bajo al nacer</w:t>
            </w:r>
            <w:r>
              <w:rPr>
                <w:sz w:val="24"/>
                <w:szCs w:val="24"/>
              </w:rPr>
              <w:t>: Copia de los registros médicos de la madre o del infante que demuestren que el infante nació prematuro o con peso bajo al nacer entre el 16 de mayo de 2014 y el 30 de abril de 2017.  “Nació prematuro” se refiere a que el infante nació antes de las 37 semanas de gestación.  “Peso bajo al nacer” se refiere a un infante que nació con un peso inferior a 2500 gramos o 5 libras y 8 onzas</w:t>
            </w:r>
          </w:p>
          <w:p w14:paraId="1571BCEA" w14:textId="77777777" w:rsidR="00E54CE6" w:rsidRPr="00E532F9" w:rsidRDefault="00E54CE6">
            <w:pPr>
              <w:autoSpaceDE w:val="0"/>
              <w:autoSpaceDN w:val="0"/>
              <w:adjustRightInd w:val="0"/>
              <w:jc w:val="both"/>
              <w:rPr>
                <w:rFonts w:eastAsia="Calibri" w:cs="Times New Roman"/>
                <w:sz w:val="24"/>
                <w:szCs w:val="24"/>
                <w:u w:val="single"/>
              </w:rPr>
            </w:pPr>
          </w:p>
          <w:p w14:paraId="47691B20" w14:textId="77777777" w:rsidR="00E54CE6" w:rsidRPr="00E532F9" w:rsidRDefault="00E54CE6">
            <w:pPr>
              <w:autoSpaceDE w:val="0"/>
              <w:autoSpaceDN w:val="0"/>
              <w:adjustRightInd w:val="0"/>
              <w:jc w:val="both"/>
              <w:rPr>
                <w:rFonts w:eastAsia="Calibri" w:cs="Times New Roman"/>
                <w:sz w:val="24"/>
                <w:szCs w:val="24"/>
                <w:u w:val="single"/>
              </w:rPr>
            </w:pPr>
          </w:p>
          <w:p w14:paraId="2642645B" w14:textId="77777777" w:rsidR="00E54CE6" w:rsidRPr="00E532F9" w:rsidRDefault="00E54CE6">
            <w:pPr>
              <w:autoSpaceDE w:val="0"/>
              <w:autoSpaceDN w:val="0"/>
              <w:adjustRightInd w:val="0"/>
              <w:jc w:val="both"/>
              <w:rPr>
                <w:rFonts w:eastAsia="Calibri" w:cs="Times New Roman"/>
                <w:sz w:val="24"/>
                <w:szCs w:val="24"/>
                <w:u w:val="single"/>
              </w:rPr>
            </w:pPr>
          </w:p>
          <w:p w14:paraId="5C10C6B5" w14:textId="77777777" w:rsidR="00E54CE6" w:rsidRPr="00E532F9" w:rsidRDefault="00E54CE6">
            <w:pPr>
              <w:autoSpaceDE w:val="0"/>
              <w:autoSpaceDN w:val="0"/>
              <w:adjustRightInd w:val="0"/>
              <w:jc w:val="both"/>
              <w:rPr>
                <w:rFonts w:eastAsia="Calibri" w:cs="Times New Roman"/>
                <w:sz w:val="24"/>
                <w:szCs w:val="24"/>
                <w:u w:val="single"/>
              </w:rPr>
            </w:pPr>
          </w:p>
          <w:p w14:paraId="0AA3EAD2" w14:textId="77777777" w:rsidR="00E54CE6" w:rsidRPr="00E532F9" w:rsidRDefault="00E54CE6">
            <w:pPr>
              <w:autoSpaceDE w:val="0"/>
              <w:autoSpaceDN w:val="0"/>
              <w:adjustRightInd w:val="0"/>
              <w:jc w:val="both"/>
              <w:rPr>
                <w:rFonts w:eastAsia="Calibri" w:cs="Times New Roman"/>
                <w:sz w:val="24"/>
                <w:szCs w:val="24"/>
                <w:u w:val="single"/>
              </w:rPr>
            </w:pPr>
          </w:p>
          <w:p w14:paraId="4D741E54" w14:textId="77777777" w:rsidR="00E54CE6" w:rsidRPr="00E532F9" w:rsidRDefault="00E54CE6">
            <w:pPr>
              <w:autoSpaceDE w:val="0"/>
              <w:autoSpaceDN w:val="0"/>
              <w:adjustRightInd w:val="0"/>
              <w:jc w:val="both"/>
              <w:rPr>
                <w:rFonts w:eastAsia="Calibri" w:cs="Times New Roman"/>
                <w:sz w:val="24"/>
                <w:szCs w:val="24"/>
                <w:u w:val="single"/>
              </w:rPr>
            </w:pPr>
          </w:p>
          <w:p w14:paraId="7ABC6483" w14:textId="77777777" w:rsidR="00E54CE6" w:rsidRPr="00E532F9" w:rsidRDefault="00E54CE6">
            <w:pPr>
              <w:autoSpaceDE w:val="0"/>
              <w:autoSpaceDN w:val="0"/>
              <w:adjustRightInd w:val="0"/>
              <w:jc w:val="both"/>
              <w:rPr>
                <w:rFonts w:eastAsia="Calibri" w:cs="Times New Roman"/>
                <w:sz w:val="24"/>
                <w:szCs w:val="24"/>
                <w:u w:val="single"/>
              </w:rPr>
            </w:pPr>
          </w:p>
          <w:p w14:paraId="2868FA4A" w14:textId="77777777" w:rsidR="00E54CE6" w:rsidRPr="00E532F9" w:rsidRDefault="00E54CE6">
            <w:pPr>
              <w:autoSpaceDE w:val="0"/>
              <w:autoSpaceDN w:val="0"/>
              <w:adjustRightInd w:val="0"/>
              <w:jc w:val="both"/>
              <w:rPr>
                <w:rFonts w:eastAsia="Calibri" w:cs="Times New Roman"/>
                <w:sz w:val="24"/>
                <w:szCs w:val="24"/>
                <w:u w:val="single"/>
              </w:rPr>
            </w:pPr>
          </w:p>
          <w:p w14:paraId="5E56B6BB" w14:textId="77777777" w:rsidR="00E54CE6" w:rsidRPr="00E532F9" w:rsidRDefault="00E54CE6">
            <w:pPr>
              <w:autoSpaceDE w:val="0"/>
              <w:autoSpaceDN w:val="0"/>
              <w:adjustRightInd w:val="0"/>
              <w:jc w:val="both"/>
              <w:rPr>
                <w:rFonts w:eastAsia="Calibri" w:cs="Times New Roman"/>
                <w:sz w:val="24"/>
                <w:szCs w:val="24"/>
                <w:u w:val="single"/>
              </w:rPr>
            </w:pPr>
          </w:p>
          <w:p w14:paraId="3FAD1992" w14:textId="77777777" w:rsidR="00E54CE6" w:rsidRPr="00E532F9" w:rsidRDefault="00E54CE6">
            <w:pPr>
              <w:autoSpaceDE w:val="0"/>
              <w:autoSpaceDN w:val="0"/>
              <w:adjustRightInd w:val="0"/>
              <w:jc w:val="both"/>
              <w:rPr>
                <w:rFonts w:eastAsia="Calibri" w:cs="Times New Roman"/>
                <w:sz w:val="24"/>
                <w:szCs w:val="24"/>
                <w:u w:val="single"/>
              </w:rPr>
            </w:pPr>
          </w:p>
          <w:p w14:paraId="6EBAD69E" w14:textId="77777777" w:rsidR="00E54CE6" w:rsidRPr="00E532F9" w:rsidRDefault="00E54CE6">
            <w:pPr>
              <w:autoSpaceDE w:val="0"/>
              <w:autoSpaceDN w:val="0"/>
              <w:adjustRightInd w:val="0"/>
              <w:jc w:val="both"/>
              <w:rPr>
                <w:rFonts w:eastAsia="Calibri" w:cs="Times New Roman"/>
                <w:sz w:val="24"/>
                <w:szCs w:val="24"/>
                <w:u w:val="single"/>
              </w:rPr>
            </w:pPr>
          </w:p>
          <w:p w14:paraId="10C870C6" w14:textId="77777777" w:rsidR="00E54CE6" w:rsidRPr="00E532F9" w:rsidRDefault="00E54CE6">
            <w:pPr>
              <w:autoSpaceDE w:val="0"/>
              <w:autoSpaceDN w:val="0"/>
              <w:adjustRightInd w:val="0"/>
              <w:jc w:val="both"/>
              <w:rPr>
                <w:rFonts w:eastAsia="Calibri" w:cs="Times New Roman"/>
                <w:sz w:val="24"/>
                <w:szCs w:val="24"/>
                <w:u w:val="single"/>
              </w:rPr>
            </w:pPr>
          </w:p>
          <w:p w14:paraId="749B1BB1" w14:textId="77777777" w:rsidR="00E54CE6" w:rsidRPr="00E532F9" w:rsidRDefault="00E54CE6">
            <w:pPr>
              <w:autoSpaceDE w:val="0"/>
              <w:autoSpaceDN w:val="0"/>
              <w:adjustRightInd w:val="0"/>
              <w:jc w:val="both"/>
              <w:rPr>
                <w:rFonts w:eastAsia="Calibri" w:cs="Times New Roman"/>
                <w:sz w:val="24"/>
                <w:szCs w:val="24"/>
                <w:u w:val="single"/>
              </w:rPr>
            </w:pPr>
          </w:p>
          <w:p w14:paraId="7D82453D" w14:textId="77777777" w:rsidR="00E54CE6" w:rsidRPr="00E532F9" w:rsidRDefault="00E54CE6">
            <w:pPr>
              <w:autoSpaceDE w:val="0"/>
              <w:autoSpaceDN w:val="0"/>
              <w:adjustRightInd w:val="0"/>
              <w:jc w:val="both"/>
              <w:rPr>
                <w:rFonts w:eastAsia="Calibri" w:cs="Times New Roman"/>
                <w:sz w:val="24"/>
                <w:szCs w:val="24"/>
                <w:u w:val="single"/>
              </w:rPr>
            </w:pPr>
          </w:p>
          <w:p w14:paraId="09A743C1" w14:textId="77777777" w:rsidR="00E54CE6" w:rsidRPr="00E532F9" w:rsidRDefault="00E54CE6">
            <w:pPr>
              <w:autoSpaceDE w:val="0"/>
              <w:autoSpaceDN w:val="0"/>
              <w:adjustRightInd w:val="0"/>
              <w:jc w:val="both"/>
              <w:rPr>
                <w:rFonts w:eastAsia="Calibri" w:cs="Times New Roman"/>
                <w:sz w:val="24"/>
                <w:szCs w:val="24"/>
                <w:u w:val="single"/>
              </w:rPr>
            </w:pPr>
          </w:p>
          <w:p w14:paraId="70DEE9B3" w14:textId="77777777" w:rsidR="00E54CE6" w:rsidRPr="00E532F9" w:rsidRDefault="00E54CE6">
            <w:pPr>
              <w:autoSpaceDE w:val="0"/>
              <w:autoSpaceDN w:val="0"/>
              <w:adjustRightInd w:val="0"/>
              <w:jc w:val="both"/>
              <w:rPr>
                <w:rFonts w:eastAsia="Calibri" w:cs="Times New Roman"/>
                <w:sz w:val="24"/>
                <w:szCs w:val="24"/>
                <w:u w:val="single"/>
              </w:rPr>
            </w:pPr>
          </w:p>
          <w:p w14:paraId="32B866C6" w14:textId="77777777" w:rsidR="00E54CE6" w:rsidRPr="00E532F9" w:rsidRDefault="00E54CE6">
            <w:pPr>
              <w:autoSpaceDE w:val="0"/>
              <w:autoSpaceDN w:val="0"/>
              <w:adjustRightInd w:val="0"/>
              <w:jc w:val="both"/>
              <w:rPr>
                <w:rFonts w:eastAsia="Calibri" w:cs="Times New Roman"/>
                <w:sz w:val="24"/>
                <w:szCs w:val="24"/>
                <w:u w:val="single"/>
              </w:rPr>
            </w:pPr>
          </w:p>
          <w:p w14:paraId="674B7F63" w14:textId="77777777" w:rsidR="00E54CE6" w:rsidRPr="00E532F9" w:rsidRDefault="00E54CE6">
            <w:pPr>
              <w:autoSpaceDE w:val="0"/>
              <w:autoSpaceDN w:val="0"/>
              <w:adjustRightInd w:val="0"/>
              <w:jc w:val="both"/>
              <w:rPr>
                <w:rFonts w:eastAsia="Calibri" w:cs="Times New Roman"/>
                <w:sz w:val="24"/>
                <w:szCs w:val="24"/>
                <w:u w:val="single"/>
              </w:rPr>
            </w:pPr>
          </w:p>
          <w:p w14:paraId="5662E16A" w14:textId="77777777" w:rsidR="00E54CE6" w:rsidRPr="00E532F9" w:rsidRDefault="00E54CE6">
            <w:pPr>
              <w:autoSpaceDE w:val="0"/>
              <w:autoSpaceDN w:val="0"/>
              <w:adjustRightInd w:val="0"/>
              <w:jc w:val="both"/>
              <w:rPr>
                <w:rFonts w:eastAsia="Calibri" w:cs="Times New Roman"/>
                <w:sz w:val="24"/>
                <w:szCs w:val="24"/>
                <w:u w:val="single"/>
              </w:rPr>
            </w:pPr>
          </w:p>
          <w:p w14:paraId="2A6E814A" w14:textId="77777777" w:rsidR="00E54CE6" w:rsidRPr="00E532F9" w:rsidRDefault="00E54CE6">
            <w:pPr>
              <w:autoSpaceDE w:val="0"/>
              <w:autoSpaceDN w:val="0"/>
              <w:adjustRightInd w:val="0"/>
              <w:jc w:val="both"/>
              <w:rPr>
                <w:rFonts w:eastAsia="Calibri" w:cs="Times New Roman"/>
                <w:sz w:val="24"/>
                <w:szCs w:val="24"/>
                <w:u w:val="single"/>
              </w:rPr>
            </w:pPr>
          </w:p>
          <w:p w14:paraId="6C62CF4B" w14:textId="77777777" w:rsidR="00E54CE6" w:rsidRPr="00E532F9" w:rsidRDefault="00E54CE6">
            <w:pPr>
              <w:autoSpaceDE w:val="0"/>
              <w:autoSpaceDN w:val="0"/>
              <w:adjustRightInd w:val="0"/>
              <w:jc w:val="both"/>
              <w:rPr>
                <w:rFonts w:eastAsia="Calibri" w:cs="Times New Roman"/>
                <w:sz w:val="24"/>
                <w:szCs w:val="24"/>
              </w:rPr>
            </w:pPr>
          </w:p>
          <w:p w14:paraId="25B7612A" w14:textId="77777777" w:rsidR="00E54CE6" w:rsidRPr="00E532F9" w:rsidRDefault="00E54CE6">
            <w:pPr>
              <w:autoSpaceDE w:val="0"/>
              <w:autoSpaceDN w:val="0"/>
              <w:adjustRightInd w:val="0"/>
              <w:jc w:val="both"/>
              <w:rPr>
                <w:rFonts w:eastAsia="Calibri" w:cs="Times New Roman"/>
                <w:sz w:val="24"/>
                <w:szCs w:val="24"/>
              </w:rPr>
            </w:pPr>
          </w:p>
          <w:p w14:paraId="071757E9" w14:textId="77777777" w:rsidR="00E54CE6" w:rsidRPr="00E532F9" w:rsidRDefault="00E54CE6">
            <w:pPr>
              <w:autoSpaceDE w:val="0"/>
              <w:autoSpaceDN w:val="0"/>
              <w:adjustRightInd w:val="0"/>
              <w:jc w:val="both"/>
              <w:rPr>
                <w:rFonts w:eastAsia="Calibri" w:cs="Times New Roman"/>
                <w:sz w:val="24"/>
                <w:szCs w:val="24"/>
              </w:rPr>
            </w:pPr>
          </w:p>
          <w:p w14:paraId="25943C58" w14:textId="77777777" w:rsidR="00E54CE6" w:rsidRPr="00E532F9" w:rsidRDefault="00E54CE6">
            <w:pPr>
              <w:autoSpaceDE w:val="0"/>
              <w:autoSpaceDN w:val="0"/>
              <w:adjustRightInd w:val="0"/>
              <w:jc w:val="both"/>
              <w:rPr>
                <w:rFonts w:eastAsia="Calibri" w:cs="Times New Roman"/>
                <w:sz w:val="24"/>
                <w:szCs w:val="24"/>
              </w:rPr>
            </w:pPr>
          </w:p>
          <w:p w14:paraId="42DBC65F" w14:textId="77777777" w:rsidR="00E54CE6" w:rsidRPr="00E532F9" w:rsidRDefault="00E54CE6">
            <w:pPr>
              <w:autoSpaceDE w:val="0"/>
              <w:autoSpaceDN w:val="0"/>
              <w:adjustRightInd w:val="0"/>
              <w:jc w:val="both"/>
              <w:rPr>
                <w:rFonts w:eastAsia="Calibri" w:cs="Times New Roman"/>
                <w:sz w:val="24"/>
                <w:szCs w:val="24"/>
              </w:rPr>
            </w:pPr>
          </w:p>
          <w:p w14:paraId="04561284" w14:textId="77777777" w:rsidR="00E54CE6" w:rsidRPr="00E532F9" w:rsidRDefault="00E54CE6">
            <w:pPr>
              <w:autoSpaceDE w:val="0"/>
              <w:autoSpaceDN w:val="0"/>
              <w:adjustRightInd w:val="0"/>
              <w:jc w:val="both"/>
              <w:rPr>
                <w:rFonts w:eastAsia="Calibri" w:cs="Times New Roman"/>
                <w:sz w:val="24"/>
                <w:szCs w:val="24"/>
              </w:rPr>
            </w:pPr>
          </w:p>
          <w:p w14:paraId="751109EC" w14:textId="77777777" w:rsidR="00E54CE6" w:rsidRPr="00E532F9" w:rsidRDefault="00E54CE6">
            <w:pPr>
              <w:autoSpaceDE w:val="0"/>
              <w:autoSpaceDN w:val="0"/>
              <w:adjustRightInd w:val="0"/>
              <w:jc w:val="both"/>
              <w:rPr>
                <w:rFonts w:eastAsia="Calibri" w:cs="Times New Roman"/>
                <w:sz w:val="24"/>
                <w:szCs w:val="24"/>
                <w:u w:val="single"/>
              </w:rPr>
            </w:pPr>
          </w:p>
          <w:p w14:paraId="29B696E0" w14:textId="77777777" w:rsidR="00E54CE6" w:rsidRPr="00E532F9" w:rsidRDefault="00E54CE6">
            <w:pPr>
              <w:autoSpaceDE w:val="0"/>
              <w:autoSpaceDN w:val="0"/>
              <w:adjustRightInd w:val="0"/>
              <w:jc w:val="both"/>
              <w:rPr>
                <w:rFonts w:eastAsia="Calibri" w:cs="Times New Roman"/>
                <w:sz w:val="24"/>
                <w:szCs w:val="24"/>
                <w:u w:val="single"/>
              </w:rPr>
            </w:pPr>
          </w:p>
          <w:p w14:paraId="5CC6D7D4" w14:textId="77777777" w:rsidR="00E54CE6" w:rsidRPr="00E532F9" w:rsidRDefault="00E54CE6">
            <w:pPr>
              <w:autoSpaceDE w:val="0"/>
              <w:autoSpaceDN w:val="0"/>
              <w:adjustRightInd w:val="0"/>
              <w:jc w:val="both"/>
              <w:rPr>
                <w:rFonts w:eastAsia="Calibri" w:cs="Times New Roman"/>
                <w:sz w:val="24"/>
                <w:szCs w:val="24"/>
                <w:u w:val="single"/>
              </w:rPr>
            </w:pPr>
          </w:p>
          <w:p w14:paraId="5352D2A8" w14:textId="77777777" w:rsidR="00E54CE6" w:rsidRPr="00E532F9" w:rsidRDefault="00E54CE6">
            <w:pPr>
              <w:autoSpaceDE w:val="0"/>
              <w:autoSpaceDN w:val="0"/>
              <w:adjustRightInd w:val="0"/>
              <w:jc w:val="both"/>
              <w:rPr>
                <w:rFonts w:eastAsia="Calibri" w:cs="Times New Roman"/>
                <w:sz w:val="24"/>
                <w:szCs w:val="24"/>
                <w:u w:val="single"/>
              </w:rPr>
            </w:pPr>
          </w:p>
          <w:p w14:paraId="2B684D6D" w14:textId="77777777" w:rsidR="00E54CE6" w:rsidRPr="00E532F9" w:rsidRDefault="00E54CE6">
            <w:pPr>
              <w:autoSpaceDE w:val="0"/>
              <w:autoSpaceDN w:val="0"/>
              <w:adjustRightInd w:val="0"/>
              <w:jc w:val="both"/>
              <w:rPr>
                <w:rFonts w:eastAsia="Calibri" w:cs="Times New Roman"/>
                <w:sz w:val="24"/>
                <w:szCs w:val="24"/>
                <w:u w:val="single"/>
              </w:rPr>
            </w:pPr>
          </w:p>
          <w:p w14:paraId="5B6F12A2" w14:textId="77777777" w:rsidR="00E54CE6" w:rsidRPr="00E532F9" w:rsidRDefault="00E54CE6">
            <w:pPr>
              <w:autoSpaceDE w:val="0"/>
              <w:autoSpaceDN w:val="0"/>
              <w:adjustRightInd w:val="0"/>
              <w:jc w:val="both"/>
              <w:rPr>
                <w:rFonts w:eastAsia="Calibri" w:cs="Times New Roman"/>
                <w:sz w:val="24"/>
                <w:szCs w:val="24"/>
                <w:u w:val="single"/>
              </w:rPr>
            </w:pPr>
          </w:p>
          <w:p w14:paraId="4F2AA7FE" w14:textId="77777777" w:rsidR="00E54CE6" w:rsidRPr="00E532F9" w:rsidRDefault="00E54CE6">
            <w:pPr>
              <w:autoSpaceDE w:val="0"/>
              <w:autoSpaceDN w:val="0"/>
              <w:adjustRightInd w:val="0"/>
              <w:jc w:val="both"/>
              <w:rPr>
                <w:rFonts w:eastAsia="Calibri" w:cs="Times New Roman"/>
                <w:sz w:val="24"/>
                <w:szCs w:val="24"/>
                <w:u w:val="single"/>
              </w:rPr>
            </w:pPr>
          </w:p>
          <w:p w14:paraId="327B9EA1" w14:textId="77777777" w:rsidR="00E54CE6" w:rsidRPr="00E532F9" w:rsidRDefault="00E54CE6">
            <w:pPr>
              <w:autoSpaceDE w:val="0"/>
              <w:autoSpaceDN w:val="0"/>
              <w:adjustRightInd w:val="0"/>
              <w:jc w:val="both"/>
              <w:rPr>
                <w:rFonts w:eastAsia="Calibri" w:cs="Times New Roman"/>
                <w:sz w:val="24"/>
                <w:szCs w:val="24"/>
                <w:u w:val="single"/>
              </w:rPr>
            </w:pPr>
          </w:p>
          <w:p w14:paraId="4B815AC8" w14:textId="77777777" w:rsidR="00E54CE6" w:rsidRPr="00E532F9" w:rsidRDefault="00E54CE6">
            <w:pPr>
              <w:autoSpaceDE w:val="0"/>
              <w:autoSpaceDN w:val="0"/>
              <w:adjustRightInd w:val="0"/>
              <w:jc w:val="both"/>
              <w:rPr>
                <w:rFonts w:eastAsia="Calibri" w:cs="Times New Roman"/>
                <w:sz w:val="24"/>
                <w:szCs w:val="24"/>
                <w:u w:val="single"/>
              </w:rPr>
            </w:pPr>
          </w:p>
          <w:p w14:paraId="3C8491C2" w14:textId="77777777" w:rsidR="00E54CE6" w:rsidRPr="00E532F9" w:rsidRDefault="00E54CE6">
            <w:pPr>
              <w:autoSpaceDE w:val="0"/>
              <w:autoSpaceDN w:val="0"/>
              <w:adjustRightInd w:val="0"/>
              <w:jc w:val="both"/>
              <w:rPr>
                <w:rFonts w:eastAsia="Calibri" w:cs="Times New Roman"/>
                <w:sz w:val="24"/>
                <w:szCs w:val="24"/>
                <w:u w:val="single"/>
              </w:rPr>
            </w:pPr>
          </w:p>
          <w:p w14:paraId="44D896EB" w14:textId="77777777" w:rsidR="00E54CE6" w:rsidRPr="00E532F9" w:rsidRDefault="00E54CE6">
            <w:pPr>
              <w:autoSpaceDE w:val="0"/>
              <w:autoSpaceDN w:val="0"/>
              <w:adjustRightInd w:val="0"/>
              <w:jc w:val="both"/>
              <w:rPr>
                <w:rFonts w:eastAsia="Calibri" w:cs="Times New Roman"/>
                <w:sz w:val="24"/>
                <w:szCs w:val="24"/>
              </w:rPr>
            </w:pPr>
          </w:p>
        </w:tc>
      </w:tr>
      <w:tr w:rsidR="00E54CE6" w:rsidRPr="00E532F9" w14:paraId="3208CC37" w14:textId="77777777">
        <w:tc>
          <w:tcPr>
            <w:tcW w:w="12950" w:type="dxa"/>
            <w:gridSpan w:val="3"/>
            <w:shd w:val="clear" w:color="auto" w:fill="B4C6E7"/>
          </w:tcPr>
          <w:p w14:paraId="7CB77DF8" w14:textId="77777777" w:rsidR="00E54CE6" w:rsidRPr="00E532F9" w:rsidRDefault="00E54CE6">
            <w:pPr>
              <w:jc w:val="center"/>
              <w:rPr>
                <w:rFonts w:eastAsia="Calibri" w:cs="Times New Roman"/>
                <w:b/>
                <w:sz w:val="24"/>
                <w:szCs w:val="24"/>
                <w:u w:val="single"/>
              </w:rPr>
            </w:pPr>
          </w:p>
          <w:p w14:paraId="26687BB2" w14:textId="77777777" w:rsidR="00E54CE6" w:rsidRPr="00E532F9" w:rsidRDefault="0016202A">
            <w:pPr>
              <w:jc w:val="center"/>
              <w:rPr>
                <w:rFonts w:eastAsia="Calibri" w:cs="Times New Roman"/>
                <w:b/>
                <w:caps/>
                <w:sz w:val="24"/>
                <w:szCs w:val="24"/>
                <w:u w:val="single"/>
              </w:rPr>
            </w:pPr>
            <w:r>
              <w:rPr>
                <w:b/>
                <w:caps/>
                <w:sz w:val="24"/>
                <w:szCs w:val="24"/>
                <w:u w:val="single"/>
              </w:rPr>
              <w:t>Categoría 4</w:t>
            </w:r>
          </w:p>
          <w:p w14:paraId="115E2506" w14:textId="77777777" w:rsidR="00E54CE6" w:rsidRPr="00E532F9" w:rsidRDefault="0016202A">
            <w:pPr>
              <w:jc w:val="center"/>
              <w:rPr>
                <w:rFonts w:eastAsia="Calibri" w:cs="Times New Roman"/>
                <w:sz w:val="24"/>
                <w:szCs w:val="24"/>
              </w:rPr>
            </w:pPr>
            <w:r>
              <w:rPr>
                <w:sz w:val="24"/>
                <w:szCs w:val="24"/>
                <w:u w:val="single"/>
              </w:rPr>
              <w:lastRenderedPageBreak/>
              <w:t>Niño, 6 años o menos</w:t>
            </w:r>
            <w:r>
              <w:rPr>
                <w:sz w:val="24"/>
                <w:szCs w:val="24"/>
              </w:rPr>
              <w:t>, nivel de plomo o infante alimentado con fórmula.</w:t>
            </w:r>
          </w:p>
          <w:p w14:paraId="63BF03FC" w14:textId="77777777" w:rsidR="00E54CE6" w:rsidRPr="00E532F9" w:rsidRDefault="00E54CE6">
            <w:pPr>
              <w:autoSpaceDE w:val="0"/>
              <w:autoSpaceDN w:val="0"/>
              <w:adjustRightInd w:val="0"/>
              <w:contextualSpacing/>
              <w:jc w:val="both"/>
              <w:rPr>
                <w:rFonts w:eastAsia="Calibri" w:cs="Times New Roman"/>
                <w:b/>
                <w:sz w:val="24"/>
                <w:szCs w:val="24"/>
                <w:u w:val="single"/>
              </w:rPr>
            </w:pPr>
          </w:p>
        </w:tc>
      </w:tr>
      <w:tr w:rsidR="00E54CE6" w:rsidRPr="00E532F9" w14:paraId="62C78B5D" w14:textId="77777777">
        <w:tc>
          <w:tcPr>
            <w:tcW w:w="4316" w:type="dxa"/>
          </w:tcPr>
          <w:p w14:paraId="168F2284" w14:textId="77777777" w:rsidR="00E54CE6" w:rsidRPr="00E532F9" w:rsidRDefault="0016202A">
            <w:pPr>
              <w:jc w:val="center"/>
              <w:rPr>
                <w:rFonts w:eastAsia="Calibri" w:cs="Times New Roman"/>
                <w:b/>
                <w:sz w:val="24"/>
                <w:szCs w:val="24"/>
                <w:u w:val="single"/>
              </w:rPr>
            </w:pPr>
            <w:r>
              <w:rPr>
                <w:b/>
                <w:sz w:val="24"/>
                <w:szCs w:val="24"/>
                <w:u w:val="single"/>
              </w:rPr>
              <w:lastRenderedPageBreak/>
              <w:t>Descripción de la Categoría</w:t>
            </w:r>
          </w:p>
          <w:p w14:paraId="0C2BCED7" w14:textId="77777777" w:rsidR="00E54CE6" w:rsidRPr="00E532F9" w:rsidRDefault="00E54CE6">
            <w:pPr>
              <w:jc w:val="both"/>
              <w:rPr>
                <w:rFonts w:eastAsia="Calibri" w:cs="Times New Roman"/>
                <w:b/>
                <w:sz w:val="24"/>
                <w:szCs w:val="24"/>
                <w:u w:val="single"/>
              </w:rPr>
            </w:pPr>
          </w:p>
          <w:p w14:paraId="07AABA04" w14:textId="77777777" w:rsidR="00E54CE6" w:rsidRPr="00E532F9" w:rsidRDefault="0016202A">
            <w:pPr>
              <w:jc w:val="both"/>
              <w:rPr>
                <w:rFonts w:eastAsia="Calibri" w:cs="Times New Roman"/>
                <w:b/>
                <w:sz w:val="24"/>
                <w:szCs w:val="24"/>
                <w:u w:val="single"/>
              </w:rPr>
            </w:pPr>
            <w:r>
              <w:rPr>
                <w:b/>
                <w:sz w:val="24"/>
                <w:szCs w:val="24"/>
                <w:u w:val="single"/>
              </w:rPr>
              <w:t>Nivel de Plomo</w:t>
            </w:r>
          </w:p>
          <w:p w14:paraId="3BAEEFDD" w14:textId="77777777" w:rsidR="00E54CE6" w:rsidRPr="00E532F9" w:rsidRDefault="0016202A">
            <w:pPr>
              <w:jc w:val="both"/>
              <w:rPr>
                <w:rFonts w:eastAsia="Calibri" w:cs="Times New Roman"/>
                <w:sz w:val="24"/>
                <w:szCs w:val="24"/>
              </w:rPr>
            </w:pPr>
            <w:r>
              <w:rPr>
                <w:iCs/>
                <w:sz w:val="24"/>
                <w:szCs w:val="24"/>
              </w:rPr>
              <w:t>Personas de 6 años o menos en el momento de la primera exposición quienes</w:t>
            </w:r>
            <w:r>
              <w:rPr>
                <w:sz w:val="24"/>
                <w:szCs w:val="24"/>
              </w:rPr>
              <w:t>:</w:t>
            </w:r>
          </w:p>
          <w:p w14:paraId="4134C4E8" w14:textId="77777777" w:rsidR="00E54CE6" w:rsidRPr="00E532F9" w:rsidRDefault="00E54CE6">
            <w:pPr>
              <w:jc w:val="both"/>
              <w:rPr>
                <w:rFonts w:eastAsia="Calibri" w:cs="Times New Roman"/>
                <w:sz w:val="24"/>
                <w:szCs w:val="24"/>
              </w:rPr>
            </w:pPr>
          </w:p>
          <w:p w14:paraId="2072C708" w14:textId="77777777" w:rsidR="00E54CE6" w:rsidRPr="00E532F9" w:rsidRDefault="0016202A">
            <w:pPr>
              <w:spacing w:after="240"/>
              <w:jc w:val="both"/>
              <w:rPr>
                <w:rFonts w:eastAsia="Calibri" w:cs="Times New Roman"/>
                <w:sz w:val="24"/>
                <w:szCs w:val="24"/>
              </w:rPr>
            </w:pPr>
            <w:r>
              <w:rPr>
                <w:sz w:val="24"/>
                <w:szCs w:val="24"/>
              </w:rPr>
              <w:t>(1) Por al menos 21 días durante cualquier período de 30 días entre el 25 de abril de 2014 y el 31 de julio de 2016;</w:t>
            </w:r>
          </w:p>
          <w:p w14:paraId="6E4A5412" w14:textId="77777777" w:rsidR="00E54CE6" w:rsidRPr="00E532F9" w:rsidRDefault="0016202A">
            <w:pPr>
              <w:spacing w:after="240"/>
              <w:jc w:val="both"/>
              <w:rPr>
                <w:rFonts w:eastAsia="Calibri" w:cs="Times New Roman"/>
                <w:sz w:val="24"/>
                <w:szCs w:val="24"/>
              </w:rPr>
            </w:pPr>
            <w:r>
              <w:rPr>
                <w:sz w:val="24"/>
                <w:szCs w:val="24"/>
              </w:rPr>
              <w:t xml:space="preserve">(2) Residieron, habitaron o asistieron a escuelas o guarderías de Flint, o estuvieron expuestas de alguna forma al agua de Flint; </w:t>
            </w:r>
            <w:r>
              <w:rPr>
                <w:b/>
                <w:sz w:val="24"/>
                <w:szCs w:val="24"/>
                <w:u w:val="single"/>
              </w:rPr>
              <w:t>y</w:t>
            </w:r>
          </w:p>
          <w:p w14:paraId="34883266" w14:textId="77777777" w:rsidR="00E54CE6" w:rsidRPr="00E532F9" w:rsidRDefault="0016202A">
            <w:pPr>
              <w:jc w:val="both"/>
              <w:rPr>
                <w:rFonts w:eastAsia="Calibri" w:cs="Times New Roman"/>
                <w:sz w:val="24"/>
                <w:szCs w:val="24"/>
              </w:rPr>
            </w:pPr>
            <w:r>
              <w:rPr>
                <w:sz w:val="24"/>
                <w:szCs w:val="24"/>
              </w:rPr>
              <w:t xml:space="preserve">(3) Obtuvieron un resultado de o entre 0.1 y 2.9 </w:t>
            </w:r>
            <w:proofErr w:type="spellStart"/>
            <w:r>
              <w:rPr>
                <w:sz w:val="24"/>
                <w:szCs w:val="24"/>
              </w:rPr>
              <w:t>mcg</w:t>
            </w:r>
            <w:proofErr w:type="spellEnd"/>
            <w:r>
              <w:rPr>
                <w:sz w:val="24"/>
                <w:szCs w:val="24"/>
              </w:rPr>
              <w:t>/</w:t>
            </w:r>
            <w:proofErr w:type="spellStart"/>
            <w:r>
              <w:rPr>
                <w:sz w:val="24"/>
                <w:szCs w:val="24"/>
              </w:rPr>
              <w:t>dL</w:t>
            </w:r>
            <w:proofErr w:type="spellEnd"/>
            <w:r>
              <w:rPr>
                <w:sz w:val="24"/>
                <w:szCs w:val="24"/>
              </w:rPr>
              <w:t xml:space="preserve"> en una prueba de nivel de plomo en la sangre realizada entre el 16 de mayo de 2014 y el 31 de agosto de 2016; </w:t>
            </w:r>
            <w:r>
              <w:rPr>
                <w:b/>
                <w:sz w:val="24"/>
                <w:szCs w:val="24"/>
                <w:u w:val="single"/>
              </w:rPr>
              <w:t xml:space="preserve">o </w:t>
            </w:r>
            <w:r>
              <w:rPr>
                <w:sz w:val="24"/>
                <w:szCs w:val="24"/>
              </w:rPr>
              <w:t xml:space="preserve">un resultado de o entre 0.1 y 2.9 </w:t>
            </w:r>
            <w:proofErr w:type="spellStart"/>
            <w:r>
              <w:rPr>
                <w:sz w:val="24"/>
                <w:szCs w:val="24"/>
              </w:rPr>
              <w:t>ug</w:t>
            </w:r>
            <w:proofErr w:type="spellEnd"/>
            <w:r>
              <w:rPr>
                <w:sz w:val="24"/>
                <w:szCs w:val="24"/>
              </w:rPr>
              <w:t>/G en la prueba de cuantificación de plomo in vivo en los huesos de una persona realizada entre el 16 de mayo de 2014 y los 90 días posteriores a la fecha de la Orden de Aprobación Preliminar.</w:t>
            </w:r>
          </w:p>
          <w:p w14:paraId="68023045" w14:textId="77777777" w:rsidR="00E54CE6" w:rsidRPr="00E532F9" w:rsidRDefault="00E54CE6">
            <w:pPr>
              <w:jc w:val="both"/>
              <w:rPr>
                <w:rFonts w:eastAsia="Calibri" w:cs="Times New Roman"/>
                <w:sz w:val="24"/>
                <w:szCs w:val="24"/>
              </w:rPr>
            </w:pPr>
          </w:p>
          <w:p w14:paraId="3702B044" w14:textId="77777777" w:rsidR="00E54CE6" w:rsidRPr="00E532F9" w:rsidRDefault="0016202A">
            <w:pPr>
              <w:rPr>
                <w:sz w:val="24"/>
                <w:szCs w:val="24"/>
              </w:rPr>
            </w:pPr>
            <w:r>
              <w:rPr>
                <w:b/>
                <w:sz w:val="24"/>
                <w:szCs w:val="24"/>
                <w:u w:val="single"/>
              </w:rPr>
              <w:t>O</w:t>
            </w:r>
          </w:p>
          <w:p w14:paraId="7D30FB70" w14:textId="77777777" w:rsidR="00E54CE6" w:rsidRPr="00E532F9" w:rsidRDefault="00E54CE6">
            <w:pPr>
              <w:rPr>
                <w:sz w:val="24"/>
                <w:szCs w:val="24"/>
              </w:rPr>
            </w:pPr>
          </w:p>
          <w:p w14:paraId="5B2AF69D" w14:textId="77777777" w:rsidR="00E54CE6" w:rsidRPr="00E532F9" w:rsidRDefault="0016202A">
            <w:pPr>
              <w:rPr>
                <w:b/>
                <w:sz w:val="24"/>
                <w:szCs w:val="24"/>
                <w:u w:val="single"/>
              </w:rPr>
            </w:pPr>
            <w:r>
              <w:rPr>
                <w:b/>
                <w:sz w:val="24"/>
                <w:szCs w:val="24"/>
                <w:u w:val="single"/>
              </w:rPr>
              <w:t>Infantes Alimentados con Fórmula</w:t>
            </w:r>
          </w:p>
          <w:p w14:paraId="1A43D9DA" w14:textId="77777777" w:rsidR="00E54CE6" w:rsidRPr="00E532F9" w:rsidRDefault="0016202A">
            <w:pPr>
              <w:rPr>
                <w:sz w:val="24"/>
                <w:szCs w:val="24"/>
              </w:rPr>
            </w:pPr>
            <w:r>
              <w:rPr>
                <w:sz w:val="24"/>
                <w:szCs w:val="24"/>
              </w:rPr>
              <w:t>Infantes quienes, en el momento de la primera exposición:</w:t>
            </w:r>
          </w:p>
          <w:p w14:paraId="38093A7E" w14:textId="77777777" w:rsidR="00E54CE6" w:rsidRPr="00E532F9" w:rsidRDefault="0016202A">
            <w:pPr>
              <w:rPr>
                <w:sz w:val="24"/>
                <w:szCs w:val="24"/>
              </w:rPr>
            </w:pPr>
            <w:r>
              <w:rPr>
                <w:sz w:val="24"/>
                <w:szCs w:val="24"/>
              </w:rPr>
              <w:lastRenderedPageBreak/>
              <w:t xml:space="preserve"> </w:t>
            </w:r>
          </w:p>
          <w:p w14:paraId="5515B363" w14:textId="77777777" w:rsidR="00E54CE6" w:rsidRPr="00E532F9" w:rsidRDefault="0016202A">
            <w:pPr>
              <w:pStyle w:val="ListParagraph"/>
              <w:numPr>
                <w:ilvl w:val="0"/>
                <w:numId w:val="10"/>
              </w:numPr>
              <w:jc w:val="both"/>
              <w:rPr>
                <w:sz w:val="24"/>
                <w:szCs w:val="24"/>
              </w:rPr>
            </w:pPr>
            <w:r>
              <w:rPr>
                <w:sz w:val="24"/>
                <w:szCs w:val="24"/>
              </w:rPr>
              <w:t>Por al menos 21 días durante cualquier período de 30 días entre el 25 de abril de 2014 y el 31 de julio de 2016;</w:t>
            </w:r>
          </w:p>
          <w:p w14:paraId="3C8FBEF9" w14:textId="77777777" w:rsidR="00E54CE6" w:rsidRPr="00E532F9" w:rsidRDefault="00E54CE6">
            <w:pPr>
              <w:pStyle w:val="ListParagraph"/>
              <w:jc w:val="both"/>
              <w:rPr>
                <w:sz w:val="24"/>
                <w:szCs w:val="24"/>
              </w:rPr>
            </w:pPr>
          </w:p>
          <w:p w14:paraId="719E2069" w14:textId="77777777" w:rsidR="00E54CE6" w:rsidRPr="00E532F9" w:rsidRDefault="0016202A">
            <w:pPr>
              <w:pStyle w:val="ListParagraph"/>
              <w:numPr>
                <w:ilvl w:val="0"/>
                <w:numId w:val="10"/>
              </w:numPr>
              <w:jc w:val="both"/>
              <w:rPr>
                <w:sz w:val="24"/>
                <w:szCs w:val="24"/>
              </w:rPr>
            </w:pPr>
            <w:r>
              <w:rPr>
                <w:sz w:val="24"/>
                <w:szCs w:val="24"/>
              </w:rPr>
              <w:t xml:space="preserve">Residieron, habitaron o asistieron a la guardería en Flint, o estuvieron expuestas de alguna forma al agua de Flint; </w:t>
            </w:r>
            <w:r>
              <w:rPr>
                <w:b/>
                <w:sz w:val="24"/>
                <w:szCs w:val="24"/>
                <w:u w:val="single"/>
              </w:rPr>
              <w:t>y</w:t>
            </w:r>
          </w:p>
          <w:p w14:paraId="5A4E40B2" w14:textId="77777777" w:rsidR="00E54CE6" w:rsidRPr="00E532F9" w:rsidRDefault="00E54CE6">
            <w:pPr>
              <w:jc w:val="both"/>
              <w:rPr>
                <w:sz w:val="24"/>
                <w:szCs w:val="24"/>
              </w:rPr>
            </w:pPr>
          </w:p>
          <w:p w14:paraId="0714E3E1" w14:textId="77777777" w:rsidR="00E54CE6" w:rsidRPr="00E532F9" w:rsidRDefault="0016202A">
            <w:pPr>
              <w:pStyle w:val="ListParagraph"/>
              <w:numPr>
                <w:ilvl w:val="0"/>
                <w:numId w:val="10"/>
              </w:numPr>
              <w:jc w:val="both"/>
              <w:rPr>
                <w:sz w:val="24"/>
                <w:szCs w:val="24"/>
              </w:rPr>
            </w:pPr>
            <w:r>
              <w:rPr>
                <w:sz w:val="24"/>
                <w:szCs w:val="24"/>
              </w:rPr>
              <w:t>Fueron alimentados con fórmula concentrada líquida o en polvo mezclada con el agua de Flint por al menos 21 días durante cualquier período de 30 días entre el 25 de abril de 2014 y el 31 de julio de 2016.</w:t>
            </w:r>
          </w:p>
          <w:p w14:paraId="4776E1D7" w14:textId="77777777" w:rsidR="00E54CE6" w:rsidRPr="00E532F9" w:rsidRDefault="00E54CE6">
            <w:pPr>
              <w:jc w:val="both"/>
              <w:rPr>
                <w:sz w:val="24"/>
                <w:szCs w:val="24"/>
              </w:rPr>
            </w:pPr>
          </w:p>
        </w:tc>
        <w:tc>
          <w:tcPr>
            <w:tcW w:w="4317" w:type="dxa"/>
          </w:tcPr>
          <w:p w14:paraId="36C2CA4D" w14:textId="77777777" w:rsidR="00E54CE6" w:rsidRPr="00E532F9" w:rsidRDefault="0016202A">
            <w:pPr>
              <w:jc w:val="center"/>
              <w:rPr>
                <w:rFonts w:eastAsia="Calibri" w:cs="Times New Roman"/>
                <w:bCs/>
                <w:color w:val="0070C0"/>
                <w:sz w:val="24"/>
                <w:szCs w:val="24"/>
                <w:u w:val="single"/>
              </w:rPr>
            </w:pPr>
            <w:r>
              <w:rPr>
                <w:b/>
                <w:color w:val="0D0D0D"/>
                <w:sz w:val="24"/>
                <w:szCs w:val="24"/>
                <w:u w:val="single"/>
              </w:rPr>
              <w:lastRenderedPageBreak/>
              <w:t>Prestaciones Pecuniarias</w:t>
            </w:r>
          </w:p>
          <w:p w14:paraId="69D7B39A" w14:textId="77777777" w:rsidR="00E54CE6" w:rsidRPr="00E532F9" w:rsidRDefault="00E54CE6">
            <w:pPr>
              <w:jc w:val="center"/>
              <w:rPr>
                <w:rFonts w:eastAsia="Calibri" w:cs="Times New Roman"/>
                <w:b/>
                <w:color w:val="0070C0"/>
                <w:sz w:val="24"/>
                <w:szCs w:val="24"/>
              </w:rPr>
            </w:pPr>
          </w:p>
          <w:p w14:paraId="13120DAA" w14:textId="77777777" w:rsidR="00E54CE6" w:rsidRPr="00E532F9" w:rsidRDefault="0016202A">
            <w:pPr>
              <w:jc w:val="center"/>
              <w:rPr>
                <w:rFonts w:eastAsia="Calibri" w:cs="Times New Roman"/>
                <w:b/>
                <w:color w:val="0070C0"/>
                <w:sz w:val="24"/>
                <w:szCs w:val="24"/>
              </w:rPr>
            </w:pPr>
            <w:r>
              <w:rPr>
                <w:b/>
                <w:color w:val="0070C0"/>
                <w:sz w:val="24"/>
                <w:szCs w:val="24"/>
              </w:rPr>
              <w:t>0.5x</w:t>
            </w:r>
          </w:p>
          <w:p w14:paraId="36A2E9C2" w14:textId="77777777" w:rsidR="00E54CE6" w:rsidRPr="00E532F9" w:rsidRDefault="00E54CE6">
            <w:pPr>
              <w:rPr>
                <w:rFonts w:eastAsia="Calibri" w:cs="Times New Roman"/>
                <w:b/>
                <w:color w:val="0070C0"/>
                <w:sz w:val="24"/>
                <w:szCs w:val="24"/>
              </w:rPr>
            </w:pPr>
          </w:p>
        </w:tc>
        <w:tc>
          <w:tcPr>
            <w:tcW w:w="4317" w:type="dxa"/>
          </w:tcPr>
          <w:p w14:paraId="22EE7764" w14:textId="77777777" w:rsidR="00E54CE6" w:rsidRPr="00E532F9" w:rsidRDefault="0016202A">
            <w:pPr>
              <w:autoSpaceDE w:val="0"/>
              <w:autoSpaceDN w:val="0"/>
              <w:adjustRightInd w:val="0"/>
              <w:contextualSpacing/>
              <w:jc w:val="center"/>
              <w:rPr>
                <w:rFonts w:eastAsia="Calibri" w:cs="Times New Roman"/>
                <w:sz w:val="24"/>
                <w:szCs w:val="24"/>
                <w:u w:val="single"/>
              </w:rPr>
            </w:pPr>
            <w:r>
              <w:rPr>
                <w:b/>
                <w:color w:val="0D0D0D"/>
                <w:sz w:val="24"/>
                <w:szCs w:val="24"/>
                <w:u w:val="single"/>
              </w:rPr>
              <w:t>Pruebas Exigidas</w:t>
            </w:r>
          </w:p>
          <w:p w14:paraId="31670ED8" w14:textId="77777777" w:rsidR="00E54CE6" w:rsidRPr="00E532F9" w:rsidRDefault="00E54CE6">
            <w:pPr>
              <w:autoSpaceDE w:val="0"/>
              <w:autoSpaceDN w:val="0"/>
              <w:adjustRightInd w:val="0"/>
              <w:contextualSpacing/>
              <w:jc w:val="both"/>
              <w:rPr>
                <w:rFonts w:eastAsia="Calibri" w:cs="Times New Roman"/>
                <w:sz w:val="24"/>
                <w:szCs w:val="24"/>
                <w:u w:val="single"/>
              </w:rPr>
            </w:pPr>
          </w:p>
          <w:p w14:paraId="59B1544D" w14:textId="77777777" w:rsidR="00E54CE6" w:rsidRPr="00E532F9" w:rsidRDefault="0016202A">
            <w:pPr>
              <w:autoSpaceDE w:val="0"/>
              <w:autoSpaceDN w:val="0"/>
              <w:adjustRightInd w:val="0"/>
              <w:contextualSpacing/>
              <w:jc w:val="both"/>
              <w:rPr>
                <w:rFonts w:eastAsia="Calibri" w:cs="Times New Roman"/>
                <w:sz w:val="24"/>
                <w:szCs w:val="24"/>
              </w:rPr>
            </w:pPr>
            <w:r>
              <w:rPr>
                <w:sz w:val="24"/>
                <w:szCs w:val="24"/>
                <w:u w:val="single"/>
              </w:rPr>
              <w:t>Pruebas en la sangre o en los huesos</w:t>
            </w:r>
            <w:r>
              <w:rPr>
                <w:sz w:val="24"/>
                <w:szCs w:val="24"/>
              </w:rPr>
              <w:t>: tal como se describe en las pruebas exigidas para la Categoría 1.</w:t>
            </w:r>
          </w:p>
          <w:p w14:paraId="02FBF407" w14:textId="77777777" w:rsidR="00E54CE6" w:rsidRPr="00E532F9" w:rsidRDefault="00E54CE6">
            <w:pPr>
              <w:rPr>
                <w:rFonts w:eastAsia="Calibri" w:cs="Times New Roman"/>
                <w:sz w:val="24"/>
                <w:szCs w:val="24"/>
                <w:u w:val="single"/>
              </w:rPr>
            </w:pPr>
          </w:p>
          <w:p w14:paraId="16CD7328" w14:textId="77777777" w:rsidR="00E54CE6" w:rsidRPr="00E532F9" w:rsidRDefault="0016202A">
            <w:pPr>
              <w:jc w:val="both"/>
              <w:rPr>
                <w:rFonts w:eastAsia="Calibri" w:cs="Times New Roman"/>
                <w:sz w:val="24"/>
                <w:szCs w:val="24"/>
                <w:u w:val="single"/>
              </w:rPr>
            </w:pPr>
            <w:r>
              <w:rPr>
                <w:sz w:val="24"/>
                <w:szCs w:val="24"/>
                <w:u w:val="single"/>
              </w:rPr>
              <w:t>Infantes Alimentados con Fórmula</w:t>
            </w:r>
            <w:r>
              <w:rPr>
                <w:sz w:val="24"/>
                <w:szCs w:val="24"/>
              </w:rPr>
              <w:t>: Copia de los registros médicos de la madre o del infante con fecha entre el 16 de mayo de 2014 y el 31 de agosto de 2016 donde se indica que el infante fue alimentado con fórmula concentrada líquida o en polvo mezclada con el agua de Flint por al menos 21 días durante cualquier período de 30 días entre el 25 de abril de 2014 y el 31 de julio de 2016.  Otra documentación equivalente, comprobable que demuestre que esta información es aceptable.</w:t>
            </w:r>
          </w:p>
        </w:tc>
      </w:tr>
      <w:tr w:rsidR="00E54CE6" w:rsidRPr="00E532F9" w14:paraId="4B00C237" w14:textId="77777777">
        <w:tc>
          <w:tcPr>
            <w:tcW w:w="12950" w:type="dxa"/>
            <w:gridSpan w:val="3"/>
            <w:shd w:val="clear" w:color="auto" w:fill="B4C6E7"/>
          </w:tcPr>
          <w:p w14:paraId="1C3A6AB8" w14:textId="77777777" w:rsidR="00E54CE6" w:rsidRPr="00E532F9" w:rsidRDefault="00E54CE6">
            <w:pPr>
              <w:jc w:val="center"/>
              <w:rPr>
                <w:rFonts w:eastAsia="Calibri" w:cs="Times New Roman"/>
                <w:b/>
                <w:sz w:val="24"/>
                <w:szCs w:val="24"/>
                <w:u w:val="single"/>
              </w:rPr>
            </w:pPr>
          </w:p>
          <w:p w14:paraId="081CD8F5" w14:textId="77777777" w:rsidR="00E54CE6" w:rsidRPr="00E532F9" w:rsidRDefault="0016202A">
            <w:pPr>
              <w:jc w:val="center"/>
              <w:rPr>
                <w:rFonts w:eastAsia="Calibri" w:cs="Times New Roman"/>
                <w:b/>
                <w:caps/>
                <w:sz w:val="24"/>
                <w:szCs w:val="24"/>
                <w:u w:val="single"/>
              </w:rPr>
            </w:pPr>
            <w:r>
              <w:rPr>
                <w:b/>
                <w:caps/>
                <w:sz w:val="24"/>
                <w:szCs w:val="24"/>
                <w:u w:val="single"/>
              </w:rPr>
              <w:t>Categoría 5</w:t>
            </w:r>
          </w:p>
          <w:p w14:paraId="55BBE6C0" w14:textId="77777777" w:rsidR="00E54CE6" w:rsidRPr="00E532F9" w:rsidRDefault="0016202A">
            <w:pPr>
              <w:jc w:val="center"/>
              <w:rPr>
                <w:rFonts w:eastAsia="Calibri" w:cs="Times New Roman"/>
                <w:sz w:val="24"/>
                <w:szCs w:val="24"/>
              </w:rPr>
            </w:pPr>
            <w:r>
              <w:rPr>
                <w:sz w:val="24"/>
                <w:szCs w:val="24"/>
                <w:u w:val="single"/>
              </w:rPr>
              <w:t>Niño, 6 años o menos</w:t>
            </w:r>
            <w:r>
              <w:rPr>
                <w:sz w:val="24"/>
                <w:szCs w:val="24"/>
              </w:rPr>
              <w:t>, plomo en el agua residencial o tuberías de plomo/acero galvanizado.</w:t>
            </w:r>
          </w:p>
          <w:p w14:paraId="249032FC" w14:textId="77777777" w:rsidR="00E54CE6" w:rsidRPr="00E532F9" w:rsidRDefault="00E54CE6">
            <w:pPr>
              <w:jc w:val="center"/>
              <w:rPr>
                <w:rFonts w:eastAsia="Calibri" w:cs="Times New Roman"/>
                <w:b/>
                <w:sz w:val="24"/>
                <w:szCs w:val="24"/>
                <w:u w:val="single"/>
              </w:rPr>
            </w:pPr>
          </w:p>
        </w:tc>
      </w:tr>
      <w:tr w:rsidR="00E54CE6" w:rsidRPr="00E532F9" w14:paraId="67BBA0A7" w14:textId="77777777">
        <w:tc>
          <w:tcPr>
            <w:tcW w:w="4316" w:type="dxa"/>
          </w:tcPr>
          <w:p w14:paraId="77279B8F" w14:textId="77777777" w:rsidR="00E54CE6" w:rsidRPr="00E532F9" w:rsidRDefault="0016202A">
            <w:pPr>
              <w:jc w:val="center"/>
              <w:rPr>
                <w:rFonts w:eastAsia="Calibri" w:cs="Times New Roman"/>
                <w:b/>
                <w:sz w:val="24"/>
                <w:szCs w:val="24"/>
                <w:u w:val="single"/>
              </w:rPr>
            </w:pPr>
            <w:r>
              <w:rPr>
                <w:b/>
                <w:sz w:val="24"/>
                <w:szCs w:val="24"/>
                <w:u w:val="single"/>
              </w:rPr>
              <w:t xml:space="preserve">Descripción de la Categoría </w:t>
            </w:r>
          </w:p>
          <w:p w14:paraId="4587A626" w14:textId="77777777" w:rsidR="00E54CE6" w:rsidRPr="00E532F9" w:rsidRDefault="00E54CE6">
            <w:pPr>
              <w:jc w:val="center"/>
              <w:rPr>
                <w:rFonts w:eastAsia="Calibri" w:cs="Times New Roman"/>
                <w:b/>
                <w:sz w:val="24"/>
                <w:szCs w:val="24"/>
                <w:u w:val="single"/>
              </w:rPr>
            </w:pPr>
          </w:p>
          <w:p w14:paraId="7FFDDA8A" w14:textId="77777777" w:rsidR="00E54CE6" w:rsidRPr="00E532F9" w:rsidRDefault="0016202A">
            <w:pPr>
              <w:rPr>
                <w:rFonts w:eastAsia="Calibri" w:cs="Times New Roman"/>
                <w:b/>
                <w:sz w:val="24"/>
                <w:szCs w:val="24"/>
                <w:u w:val="single"/>
              </w:rPr>
            </w:pPr>
            <w:r>
              <w:rPr>
                <w:b/>
                <w:sz w:val="24"/>
                <w:szCs w:val="24"/>
                <w:u w:val="single"/>
              </w:rPr>
              <w:t>Residencia</w:t>
            </w:r>
            <w:r w:rsidRPr="00E532F9">
              <w:rPr>
                <w:rFonts w:eastAsia="Calibri" w:cs="Times New Roman"/>
                <w:b/>
                <w:sz w:val="24"/>
                <w:szCs w:val="24"/>
                <w:u w:val="single"/>
                <w:vertAlign w:val="superscript"/>
              </w:rPr>
              <w:footnoteReference w:id="3"/>
            </w:r>
            <w:r>
              <w:rPr>
                <w:b/>
                <w:sz w:val="24"/>
                <w:szCs w:val="24"/>
                <w:u w:val="single"/>
              </w:rPr>
              <w:t xml:space="preserve"> con un nivel de plomo en el agua de 15 </w:t>
            </w:r>
            <w:proofErr w:type="spellStart"/>
            <w:r>
              <w:rPr>
                <w:b/>
                <w:sz w:val="24"/>
                <w:szCs w:val="24"/>
                <w:u w:val="single"/>
              </w:rPr>
              <w:t>ppb</w:t>
            </w:r>
            <w:proofErr w:type="spellEnd"/>
            <w:r>
              <w:rPr>
                <w:b/>
                <w:sz w:val="24"/>
                <w:szCs w:val="24"/>
                <w:u w:val="single"/>
              </w:rPr>
              <w:t xml:space="preserve"> o superior</w:t>
            </w:r>
          </w:p>
          <w:p w14:paraId="48B5DF10" w14:textId="77777777" w:rsidR="00E54CE6" w:rsidRPr="00E532F9" w:rsidRDefault="0016202A">
            <w:pPr>
              <w:jc w:val="both"/>
              <w:rPr>
                <w:rFonts w:eastAsia="Calibri" w:cs="Times New Roman"/>
                <w:iCs/>
                <w:sz w:val="24"/>
                <w:szCs w:val="24"/>
              </w:rPr>
            </w:pPr>
            <w:r>
              <w:rPr>
                <w:iCs/>
                <w:sz w:val="24"/>
                <w:szCs w:val="24"/>
              </w:rPr>
              <w:t>Personas de 6 años o menos en el momento de la primera exposición quienes:</w:t>
            </w:r>
          </w:p>
          <w:p w14:paraId="043B3744" w14:textId="77777777" w:rsidR="00E54CE6" w:rsidRPr="00E532F9" w:rsidRDefault="00E54CE6">
            <w:pPr>
              <w:jc w:val="both"/>
              <w:rPr>
                <w:rFonts w:eastAsia="Calibri" w:cs="Times New Roman"/>
                <w:iCs/>
                <w:sz w:val="24"/>
                <w:szCs w:val="24"/>
              </w:rPr>
            </w:pPr>
          </w:p>
          <w:p w14:paraId="6EC3E5FF" w14:textId="77777777" w:rsidR="00E54CE6" w:rsidRPr="00E532F9" w:rsidRDefault="0016202A">
            <w:pPr>
              <w:jc w:val="both"/>
              <w:rPr>
                <w:rFonts w:eastAsia="Calibri" w:cs="Times New Roman"/>
                <w:sz w:val="24"/>
                <w:szCs w:val="24"/>
              </w:rPr>
            </w:pPr>
            <w:r>
              <w:rPr>
                <w:sz w:val="24"/>
                <w:szCs w:val="24"/>
              </w:rPr>
              <w:t>(1) Por al menos 21 días durante cualquier período de 30 días entre el 25 de abril de 2014 y el 31 de julio de 2016;</w:t>
            </w:r>
          </w:p>
          <w:p w14:paraId="6C5B4D9D" w14:textId="77777777" w:rsidR="00E54CE6" w:rsidRPr="00E532F9" w:rsidRDefault="00E54CE6">
            <w:pPr>
              <w:jc w:val="both"/>
              <w:rPr>
                <w:rFonts w:eastAsia="Calibri" w:cs="Times New Roman"/>
                <w:sz w:val="24"/>
                <w:szCs w:val="24"/>
              </w:rPr>
            </w:pPr>
          </w:p>
          <w:p w14:paraId="05BD621F" w14:textId="77777777" w:rsidR="00E54CE6" w:rsidRPr="00E532F9" w:rsidRDefault="0016202A">
            <w:pPr>
              <w:jc w:val="both"/>
              <w:rPr>
                <w:rFonts w:eastAsia="Calibri" w:cs="Times New Roman"/>
                <w:b/>
                <w:sz w:val="24"/>
                <w:szCs w:val="24"/>
                <w:u w:val="single"/>
              </w:rPr>
            </w:pPr>
            <w:r>
              <w:rPr>
                <w:sz w:val="24"/>
                <w:szCs w:val="24"/>
              </w:rPr>
              <w:t xml:space="preserve">(2) Residieron o habitaron en una residencia de Flint; </w:t>
            </w:r>
            <w:r>
              <w:rPr>
                <w:b/>
                <w:sz w:val="24"/>
                <w:szCs w:val="24"/>
                <w:u w:val="single"/>
              </w:rPr>
              <w:t>y</w:t>
            </w:r>
          </w:p>
          <w:p w14:paraId="4D69E9E5" w14:textId="77777777" w:rsidR="00E54CE6" w:rsidRPr="00E532F9" w:rsidRDefault="00E54CE6">
            <w:pPr>
              <w:jc w:val="both"/>
              <w:rPr>
                <w:rFonts w:eastAsia="Calibri" w:cs="Times New Roman"/>
              </w:rPr>
            </w:pPr>
          </w:p>
          <w:p w14:paraId="733EDD97" w14:textId="77777777" w:rsidR="00E54CE6" w:rsidRPr="00E532F9" w:rsidRDefault="0016202A">
            <w:pPr>
              <w:jc w:val="both"/>
              <w:rPr>
                <w:rFonts w:eastAsia="Calibri" w:cs="Times New Roman"/>
                <w:sz w:val="24"/>
                <w:szCs w:val="24"/>
              </w:rPr>
            </w:pPr>
            <w:r>
              <w:rPr>
                <w:sz w:val="24"/>
                <w:szCs w:val="24"/>
              </w:rPr>
              <w:t xml:space="preserve">(3) Obtuvieron un resultado de 15 </w:t>
            </w:r>
            <w:proofErr w:type="spellStart"/>
            <w:r>
              <w:rPr>
                <w:sz w:val="24"/>
                <w:szCs w:val="24"/>
              </w:rPr>
              <w:t>ppb</w:t>
            </w:r>
            <w:proofErr w:type="spellEnd"/>
            <w:r>
              <w:rPr>
                <w:sz w:val="24"/>
                <w:szCs w:val="24"/>
              </w:rPr>
              <w:t xml:space="preserve"> o superior en una prueba de nivel de plomo en el agua realizada en esa residencia de Flint entre el 16 de mayo de 2014 y el 31 de agosto de 2016.</w:t>
            </w:r>
          </w:p>
          <w:p w14:paraId="4DC7DD2B" w14:textId="77777777" w:rsidR="00E54CE6" w:rsidRPr="00E532F9" w:rsidRDefault="00E54CE6">
            <w:pPr>
              <w:autoSpaceDE w:val="0"/>
              <w:autoSpaceDN w:val="0"/>
              <w:adjustRightInd w:val="0"/>
              <w:jc w:val="both"/>
              <w:rPr>
                <w:rFonts w:eastAsia="Calibri" w:cs="Times New Roman"/>
                <w:sz w:val="24"/>
                <w:szCs w:val="24"/>
              </w:rPr>
            </w:pPr>
          </w:p>
          <w:p w14:paraId="077CA972" w14:textId="77777777" w:rsidR="00E54CE6" w:rsidRPr="00E532F9" w:rsidRDefault="0016202A">
            <w:pPr>
              <w:autoSpaceDE w:val="0"/>
              <w:autoSpaceDN w:val="0"/>
              <w:adjustRightInd w:val="0"/>
              <w:jc w:val="both"/>
              <w:rPr>
                <w:rFonts w:eastAsia="Calibri" w:cs="Times New Roman"/>
                <w:b/>
                <w:sz w:val="24"/>
                <w:szCs w:val="24"/>
                <w:u w:val="single"/>
              </w:rPr>
            </w:pPr>
            <w:r>
              <w:rPr>
                <w:b/>
                <w:sz w:val="24"/>
                <w:szCs w:val="24"/>
                <w:u w:val="single"/>
              </w:rPr>
              <w:t>O</w:t>
            </w:r>
          </w:p>
          <w:p w14:paraId="547D2054" w14:textId="77777777" w:rsidR="00E54CE6" w:rsidRPr="00E532F9" w:rsidRDefault="00E54CE6">
            <w:pPr>
              <w:autoSpaceDE w:val="0"/>
              <w:autoSpaceDN w:val="0"/>
              <w:adjustRightInd w:val="0"/>
              <w:jc w:val="both"/>
              <w:rPr>
                <w:rFonts w:eastAsia="Calibri" w:cs="Times New Roman"/>
                <w:sz w:val="24"/>
                <w:szCs w:val="24"/>
              </w:rPr>
            </w:pPr>
          </w:p>
          <w:p w14:paraId="5F4E0CE8" w14:textId="77777777" w:rsidR="00E54CE6" w:rsidRPr="00E532F9" w:rsidRDefault="0016202A">
            <w:pPr>
              <w:autoSpaceDE w:val="0"/>
              <w:autoSpaceDN w:val="0"/>
              <w:adjustRightInd w:val="0"/>
              <w:jc w:val="both"/>
              <w:rPr>
                <w:rFonts w:eastAsia="Calibri" w:cs="Times New Roman"/>
                <w:b/>
                <w:sz w:val="24"/>
                <w:szCs w:val="24"/>
                <w:u w:val="single"/>
              </w:rPr>
            </w:pPr>
            <w:r>
              <w:rPr>
                <w:b/>
                <w:sz w:val="24"/>
                <w:szCs w:val="24"/>
                <w:u w:val="single"/>
              </w:rPr>
              <w:t>Residencia con tuberías de plomo o acero galvanizado</w:t>
            </w:r>
          </w:p>
          <w:p w14:paraId="50520AAE" w14:textId="77777777" w:rsidR="00E54CE6" w:rsidRPr="00E532F9" w:rsidRDefault="0016202A">
            <w:pPr>
              <w:jc w:val="both"/>
              <w:rPr>
                <w:rFonts w:eastAsia="Calibri" w:cs="Times New Roman"/>
                <w:iCs/>
                <w:sz w:val="24"/>
                <w:szCs w:val="24"/>
              </w:rPr>
            </w:pPr>
            <w:r>
              <w:rPr>
                <w:iCs/>
                <w:sz w:val="24"/>
                <w:szCs w:val="24"/>
              </w:rPr>
              <w:t>Personas de 6 años o menos en el momento de la primera exposición quienes:</w:t>
            </w:r>
          </w:p>
          <w:p w14:paraId="76708C59" w14:textId="77777777" w:rsidR="00E54CE6" w:rsidRPr="00E532F9" w:rsidRDefault="00E54CE6">
            <w:pPr>
              <w:jc w:val="both"/>
              <w:rPr>
                <w:rFonts w:eastAsia="Calibri" w:cs="Times New Roman"/>
                <w:sz w:val="24"/>
                <w:szCs w:val="24"/>
              </w:rPr>
            </w:pPr>
          </w:p>
          <w:p w14:paraId="56C53C0D" w14:textId="77777777" w:rsidR="00E54CE6" w:rsidRPr="00E532F9" w:rsidRDefault="0016202A">
            <w:pPr>
              <w:jc w:val="both"/>
              <w:rPr>
                <w:rFonts w:eastAsia="Calibri" w:cs="Times New Roman"/>
                <w:sz w:val="24"/>
                <w:szCs w:val="24"/>
              </w:rPr>
            </w:pPr>
            <w:r>
              <w:rPr>
                <w:sz w:val="24"/>
                <w:szCs w:val="24"/>
              </w:rPr>
              <w:t>(1) Por al menos 21 días durante cualquier período de 30 días entre el 25 de abril de 2014 y el 31 de julio de 2016;</w:t>
            </w:r>
          </w:p>
          <w:p w14:paraId="679D932A" w14:textId="77777777" w:rsidR="00E54CE6" w:rsidRPr="00E532F9" w:rsidRDefault="00E54CE6">
            <w:pPr>
              <w:jc w:val="both"/>
              <w:rPr>
                <w:rFonts w:eastAsia="Calibri" w:cs="Times New Roman"/>
                <w:sz w:val="24"/>
                <w:szCs w:val="24"/>
              </w:rPr>
            </w:pPr>
          </w:p>
          <w:p w14:paraId="2323A74C" w14:textId="77777777" w:rsidR="00E54CE6" w:rsidRPr="00E532F9" w:rsidRDefault="0016202A">
            <w:pPr>
              <w:jc w:val="both"/>
              <w:rPr>
                <w:rFonts w:eastAsia="Calibri" w:cs="Times New Roman"/>
                <w:b/>
                <w:sz w:val="24"/>
                <w:szCs w:val="24"/>
                <w:u w:val="single"/>
              </w:rPr>
            </w:pPr>
            <w:r>
              <w:rPr>
                <w:sz w:val="24"/>
                <w:szCs w:val="24"/>
              </w:rPr>
              <w:t xml:space="preserve">(2) Residieron o habitaron en una residencia de Flint; </w:t>
            </w:r>
            <w:r>
              <w:rPr>
                <w:b/>
                <w:sz w:val="24"/>
                <w:szCs w:val="24"/>
                <w:u w:val="single"/>
              </w:rPr>
              <w:t>y</w:t>
            </w:r>
          </w:p>
          <w:p w14:paraId="29D5DDCF" w14:textId="77777777" w:rsidR="00E54CE6" w:rsidRPr="00E532F9" w:rsidRDefault="00E54CE6">
            <w:pPr>
              <w:jc w:val="both"/>
              <w:rPr>
                <w:rFonts w:eastAsia="Calibri" w:cs="Times New Roman"/>
              </w:rPr>
            </w:pPr>
          </w:p>
          <w:p w14:paraId="0CAB27D1" w14:textId="77777777" w:rsidR="00E54CE6" w:rsidRPr="00E532F9" w:rsidRDefault="0016202A">
            <w:pPr>
              <w:jc w:val="both"/>
              <w:rPr>
                <w:rFonts w:eastAsia="Calibri" w:cs="Times New Roman"/>
                <w:sz w:val="24"/>
                <w:szCs w:val="24"/>
              </w:rPr>
            </w:pPr>
            <w:r>
              <w:rPr>
                <w:sz w:val="24"/>
                <w:szCs w:val="24"/>
              </w:rPr>
              <w:t>(3) Esa residencia de Flint tenía tuberías de plomo o acero galvanizado.</w:t>
            </w:r>
          </w:p>
          <w:p w14:paraId="1D2339B2" w14:textId="77777777" w:rsidR="00E54CE6" w:rsidRPr="00E532F9" w:rsidRDefault="00E54CE6">
            <w:pPr>
              <w:jc w:val="both"/>
              <w:rPr>
                <w:rFonts w:eastAsia="Calibri" w:cs="Times New Roman"/>
              </w:rPr>
            </w:pPr>
          </w:p>
          <w:p w14:paraId="6B69210D" w14:textId="77777777" w:rsidR="00E54CE6" w:rsidRPr="00E532F9" w:rsidRDefault="00E54CE6">
            <w:pPr>
              <w:jc w:val="both"/>
              <w:rPr>
                <w:rFonts w:eastAsia="Calibri" w:cs="Times New Roman"/>
              </w:rPr>
            </w:pPr>
          </w:p>
          <w:p w14:paraId="3B25E330" w14:textId="77777777" w:rsidR="00E54CE6" w:rsidRPr="00E532F9" w:rsidRDefault="00E54CE6">
            <w:pPr>
              <w:jc w:val="both"/>
              <w:rPr>
                <w:rFonts w:eastAsia="Calibri" w:cs="Times New Roman"/>
              </w:rPr>
            </w:pPr>
          </w:p>
        </w:tc>
        <w:tc>
          <w:tcPr>
            <w:tcW w:w="4317" w:type="dxa"/>
          </w:tcPr>
          <w:p w14:paraId="37897ED5" w14:textId="77777777" w:rsidR="00E54CE6" w:rsidRPr="00E532F9" w:rsidRDefault="0016202A">
            <w:pPr>
              <w:jc w:val="center"/>
              <w:rPr>
                <w:rFonts w:eastAsia="Calibri" w:cs="Times New Roman"/>
                <w:b/>
                <w:color w:val="0D0D0D"/>
                <w:sz w:val="24"/>
                <w:szCs w:val="24"/>
                <w:u w:val="single"/>
              </w:rPr>
            </w:pPr>
            <w:r>
              <w:rPr>
                <w:b/>
                <w:color w:val="0D0D0D"/>
                <w:sz w:val="24"/>
                <w:szCs w:val="24"/>
                <w:u w:val="single"/>
              </w:rPr>
              <w:lastRenderedPageBreak/>
              <w:t>Prestaciones Pecuniarias</w:t>
            </w:r>
          </w:p>
          <w:p w14:paraId="30D3756A" w14:textId="77777777" w:rsidR="00E54CE6" w:rsidRPr="00E532F9" w:rsidRDefault="00E54CE6">
            <w:pPr>
              <w:jc w:val="center"/>
              <w:rPr>
                <w:rFonts w:eastAsia="Calibri" w:cs="Times New Roman"/>
                <w:b/>
                <w:color w:val="0D0D0D"/>
                <w:sz w:val="24"/>
                <w:szCs w:val="24"/>
                <w:u w:val="single"/>
              </w:rPr>
            </w:pPr>
          </w:p>
          <w:p w14:paraId="3B4C3AA6" w14:textId="77777777" w:rsidR="00E54CE6" w:rsidRPr="00E532F9" w:rsidRDefault="0016202A">
            <w:pPr>
              <w:jc w:val="center"/>
              <w:rPr>
                <w:rFonts w:eastAsia="Calibri" w:cs="Times New Roman"/>
                <w:b/>
                <w:color w:val="0D0D0D"/>
                <w:sz w:val="24"/>
                <w:szCs w:val="24"/>
                <w:u w:val="single"/>
              </w:rPr>
            </w:pPr>
            <w:r>
              <w:rPr>
                <w:b/>
                <w:color w:val="0070C0"/>
                <w:sz w:val="24"/>
                <w:szCs w:val="24"/>
              </w:rPr>
              <w:t>0.2x</w:t>
            </w:r>
          </w:p>
        </w:tc>
        <w:tc>
          <w:tcPr>
            <w:tcW w:w="4317" w:type="dxa"/>
          </w:tcPr>
          <w:p w14:paraId="7672D5A8" w14:textId="77777777" w:rsidR="00E54CE6" w:rsidRPr="00E532F9" w:rsidRDefault="0016202A">
            <w:pPr>
              <w:jc w:val="center"/>
              <w:rPr>
                <w:rFonts w:eastAsia="Calibri" w:cs="Times New Roman"/>
                <w:sz w:val="24"/>
                <w:szCs w:val="24"/>
                <w:u w:val="single"/>
              </w:rPr>
            </w:pPr>
            <w:r>
              <w:rPr>
                <w:b/>
                <w:color w:val="0D0D0D"/>
                <w:sz w:val="24"/>
                <w:szCs w:val="24"/>
                <w:u w:val="single"/>
              </w:rPr>
              <w:t>Pruebas Exigidas</w:t>
            </w:r>
          </w:p>
          <w:p w14:paraId="2E7B88B1" w14:textId="77777777" w:rsidR="00E54CE6" w:rsidRPr="00E532F9" w:rsidRDefault="00E54CE6">
            <w:pPr>
              <w:jc w:val="both"/>
              <w:rPr>
                <w:rFonts w:eastAsia="Calibri" w:cs="Times New Roman"/>
                <w:sz w:val="24"/>
                <w:szCs w:val="24"/>
              </w:rPr>
            </w:pPr>
          </w:p>
          <w:p w14:paraId="5437AF1D" w14:textId="77777777" w:rsidR="00E54CE6" w:rsidRPr="00E532F9" w:rsidRDefault="0016202A">
            <w:pPr>
              <w:autoSpaceDE w:val="0"/>
              <w:autoSpaceDN w:val="0"/>
              <w:adjustRightInd w:val="0"/>
              <w:jc w:val="both"/>
              <w:rPr>
                <w:rFonts w:eastAsia="Calibri" w:cs="Times New Roman"/>
                <w:sz w:val="24"/>
                <w:szCs w:val="24"/>
              </w:rPr>
            </w:pPr>
            <w:r>
              <w:rPr>
                <w:sz w:val="24"/>
                <w:szCs w:val="24"/>
                <w:u w:val="single"/>
              </w:rPr>
              <w:t xml:space="preserve">Residencia con un nivel de plomo en el agua de 15 </w:t>
            </w:r>
            <w:proofErr w:type="spellStart"/>
            <w:r>
              <w:rPr>
                <w:sz w:val="24"/>
                <w:szCs w:val="24"/>
                <w:u w:val="single"/>
              </w:rPr>
              <w:t>ppb</w:t>
            </w:r>
            <w:proofErr w:type="spellEnd"/>
            <w:r>
              <w:rPr>
                <w:sz w:val="24"/>
                <w:szCs w:val="24"/>
                <w:u w:val="single"/>
              </w:rPr>
              <w:t xml:space="preserve"> o superior</w:t>
            </w:r>
            <w:r>
              <w:rPr>
                <w:sz w:val="24"/>
                <w:szCs w:val="24"/>
              </w:rPr>
              <w:t xml:space="preserve">: Un resultado de 15 </w:t>
            </w:r>
            <w:proofErr w:type="spellStart"/>
            <w:r>
              <w:rPr>
                <w:sz w:val="24"/>
                <w:szCs w:val="24"/>
              </w:rPr>
              <w:t>ppb</w:t>
            </w:r>
            <w:proofErr w:type="spellEnd"/>
            <w:r>
              <w:rPr>
                <w:sz w:val="24"/>
                <w:szCs w:val="24"/>
              </w:rPr>
              <w:t xml:space="preserve"> o superior en una prueba del nivel de plomo en el agua realizada entre el 16 </w:t>
            </w:r>
            <w:r>
              <w:rPr>
                <w:sz w:val="24"/>
                <w:szCs w:val="24"/>
              </w:rPr>
              <w:lastRenderedPageBreak/>
              <w:t>de mayo de 2014 y el 31 de agosto de 2016 por un laboratorio certificado por el Estado de Michigan, o según se desprende de la lista de los Resultados de la Prueba del Agua de Flint publicados en el sitio web del Estado de Michigan, la Agencia de Protección Ambiental de los Estados Unidos, o el Instituto Politécnico y Universidad Estatal de Virginia.</w:t>
            </w:r>
          </w:p>
          <w:p w14:paraId="7745C9F1" w14:textId="77777777" w:rsidR="00E54CE6" w:rsidRPr="00E532F9" w:rsidRDefault="00E54CE6">
            <w:pPr>
              <w:jc w:val="both"/>
              <w:rPr>
                <w:rFonts w:eastAsia="Calibri" w:cs="Times New Roman"/>
                <w:sz w:val="24"/>
                <w:szCs w:val="24"/>
              </w:rPr>
            </w:pPr>
          </w:p>
          <w:p w14:paraId="4B611DA8" w14:textId="77777777" w:rsidR="00E54CE6" w:rsidRPr="00E532F9" w:rsidRDefault="0016202A">
            <w:pPr>
              <w:autoSpaceDE w:val="0"/>
              <w:autoSpaceDN w:val="0"/>
              <w:adjustRightInd w:val="0"/>
              <w:jc w:val="both"/>
              <w:rPr>
                <w:rFonts w:eastAsia="Calibri" w:cs="Times New Roman"/>
                <w:sz w:val="24"/>
                <w:szCs w:val="24"/>
                <w:u w:val="single"/>
              </w:rPr>
            </w:pPr>
            <w:r>
              <w:rPr>
                <w:sz w:val="24"/>
                <w:szCs w:val="24"/>
                <w:u w:val="single"/>
              </w:rPr>
              <w:t>Residencia con tuberías de plomo o acero galvanizado</w:t>
            </w:r>
            <w:r>
              <w:rPr>
                <w:sz w:val="24"/>
                <w:szCs w:val="24"/>
              </w:rPr>
              <w:t>: Informe de la Ciudad de Flint que demuestre que la residencia del Reclamante tenía tuberías de plomo o acero galvanizado en el momento de la exposición al agua de Flint entre el 25 de abril de 2014 y el 31 de julio de 2016.</w:t>
            </w:r>
          </w:p>
        </w:tc>
      </w:tr>
      <w:tr w:rsidR="00E54CE6" w:rsidRPr="00E532F9" w14:paraId="65B4757F" w14:textId="77777777">
        <w:tc>
          <w:tcPr>
            <w:tcW w:w="12950" w:type="dxa"/>
            <w:gridSpan w:val="3"/>
            <w:shd w:val="clear" w:color="auto" w:fill="B4C6E7"/>
          </w:tcPr>
          <w:p w14:paraId="240F12B7" w14:textId="77777777" w:rsidR="00E54CE6" w:rsidRPr="00E532F9" w:rsidRDefault="00E54CE6">
            <w:pPr>
              <w:jc w:val="center"/>
              <w:rPr>
                <w:rFonts w:eastAsia="Calibri" w:cs="Times New Roman"/>
                <w:b/>
                <w:sz w:val="24"/>
                <w:szCs w:val="24"/>
                <w:u w:val="single"/>
              </w:rPr>
            </w:pPr>
          </w:p>
          <w:p w14:paraId="714DCD78" w14:textId="77777777" w:rsidR="00E54CE6" w:rsidRPr="00E532F9" w:rsidRDefault="0016202A">
            <w:pPr>
              <w:jc w:val="center"/>
              <w:rPr>
                <w:rFonts w:eastAsia="Calibri" w:cs="Times New Roman"/>
                <w:b/>
                <w:caps/>
                <w:sz w:val="24"/>
                <w:szCs w:val="24"/>
                <w:u w:val="single"/>
              </w:rPr>
            </w:pPr>
            <w:r>
              <w:rPr>
                <w:b/>
                <w:caps/>
                <w:sz w:val="24"/>
                <w:szCs w:val="24"/>
                <w:u w:val="single"/>
              </w:rPr>
              <w:t>Categoría 6</w:t>
            </w:r>
          </w:p>
          <w:p w14:paraId="50D07060" w14:textId="77777777" w:rsidR="00E54CE6" w:rsidRPr="00E532F9" w:rsidRDefault="0016202A">
            <w:pPr>
              <w:jc w:val="center"/>
              <w:rPr>
                <w:rFonts w:eastAsia="Calibri" w:cs="Times New Roman"/>
                <w:sz w:val="24"/>
                <w:szCs w:val="24"/>
              </w:rPr>
            </w:pPr>
            <w:r>
              <w:rPr>
                <w:sz w:val="24"/>
                <w:szCs w:val="24"/>
                <w:u w:val="single"/>
              </w:rPr>
              <w:t>Niño, 6 años o menos</w:t>
            </w:r>
            <w:r>
              <w:rPr>
                <w:sz w:val="24"/>
                <w:szCs w:val="24"/>
              </w:rPr>
              <w:t>, sin nivel de plomo en la sangre o en los huesos.</w:t>
            </w:r>
          </w:p>
          <w:p w14:paraId="6773EF69" w14:textId="77777777" w:rsidR="00E54CE6" w:rsidRPr="00E532F9" w:rsidRDefault="0016202A">
            <w:pPr>
              <w:jc w:val="center"/>
              <w:rPr>
                <w:rFonts w:eastAsia="Calibri" w:cs="Times New Roman"/>
                <w:sz w:val="24"/>
                <w:szCs w:val="24"/>
              </w:rPr>
            </w:pPr>
            <w:r>
              <w:rPr>
                <w:sz w:val="24"/>
                <w:szCs w:val="24"/>
              </w:rPr>
              <w:t xml:space="preserve"> </w:t>
            </w:r>
          </w:p>
        </w:tc>
      </w:tr>
      <w:tr w:rsidR="00E54CE6" w:rsidRPr="00E532F9" w14:paraId="600279AD" w14:textId="77777777">
        <w:tc>
          <w:tcPr>
            <w:tcW w:w="4316" w:type="dxa"/>
          </w:tcPr>
          <w:p w14:paraId="570C679F" w14:textId="77777777" w:rsidR="00E54CE6" w:rsidRPr="00E532F9" w:rsidRDefault="0016202A">
            <w:pPr>
              <w:jc w:val="center"/>
              <w:rPr>
                <w:rFonts w:eastAsia="Calibri" w:cs="Times New Roman"/>
                <w:b/>
                <w:sz w:val="24"/>
                <w:szCs w:val="24"/>
                <w:u w:val="single"/>
              </w:rPr>
            </w:pPr>
            <w:r>
              <w:rPr>
                <w:b/>
                <w:sz w:val="24"/>
                <w:szCs w:val="24"/>
                <w:u w:val="single"/>
              </w:rPr>
              <w:t>Descripción de la Categoría</w:t>
            </w:r>
          </w:p>
          <w:p w14:paraId="11F01A7A" w14:textId="77777777" w:rsidR="00E54CE6" w:rsidRPr="00E532F9" w:rsidRDefault="00E54CE6">
            <w:pPr>
              <w:jc w:val="both"/>
              <w:rPr>
                <w:rFonts w:eastAsia="Calibri" w:cs="Times New Roman"/>
                <w:b/>
                <w:sz w:val="24"/>
                <w:szCs w:val="24"/>
                <w:u w:val="single"/>
              </w:rPr>
            </w:pPr>
          </w:p>
          <w:p w14:paraId="43347A62" w14:textId="77777777" w:rsidR="00E54CE6" w:rsidRPr="00E532F9" w:rsidRDefault="0016202A">
            <w:pPr>
              <w:jc w:val="both"/>
              <w:rPr>
                <w:rFonts w:eastAsia="Calibri" w:cs="Times New Roman"/>
                <w:b/>
                <w:sz w:val="24"/>
                <w:szCs w:val="24"/>
                <w:u w:val="single"/>
              </w:rPr>
            </w:pPr>
            <w:r>
              <w:rPr>
                <w:b/>
                <w:sz w:val="24"/>
                <w:szCs w:val="24"/>
                <w:u w:val="single"/>
              </w:rPr>
              <w:t>Sin Nivel de Plomo en la Sangre o en los Huesos</w:t>
            </w:r>
          </w:p>
          <w:p w14:paraId="4F47E70E" w14:textId="77777777" w:rsidR="00E54CE6" w:rsidRPr="00E532F9" w:rsidRDefault="0016202A">
            <w:pPr>
              <w:jc w:val="both"/>
              <w:rPr>
                <w:rFonts w:eastAsia="Calibri" w:cs="Times New Roman"/>
                <w:iCs/>
                <w:sz w:val="24"/>
                <w:szCs w:val="24"/>
              </w:rPr>
            </w:pPr>
            <w:r>
              <w:rPr>
                <w:iCs/>
                <w:sz w:val="24"/>
                <w:szCs w:val="24"/>
              </w:rPr>
              <w:t>Personas de 6 años o menos en el momento de la primera exposición quienes:</w:t>
            </w:r>
          </w:p>
          <w:p w14:paraId="1477DBAE" w14:textId="77777777" w:rsidR="00E54CE6" w:rsidRPr="00E532F9" w:rsidRDefault="00E54CE6">
            <w:pPr>
              <w:jc w:val="both"/>
              <w:rPr>
                <w:rFonts w:eastAsia="Calibri" w:cs="Times New Roman"/>
                <w:b/>
                <w:sz w:val="24"/>
                <w:szCs w:val="24"/>
                <w:u w:val="single"/>
              </w:rPr>
            </w:pPr>
          </w:p>
          <w:p w14:paraId="553362A6" w14:textId="77777777" w:rsidR="00E54CE6" w:rsidRPr="00E532F9" w:rsidRDefault="0016202A">
            <w:pPr>
              <w:spacing w:after="240"/>
              <w:jc w:val="both"/>
              <w:rPr>
                <w:rFonts w:eastAsia="Calibri" w:cs="Times New Roman"/>
                <w:sz w:val="24"/>
                <w:szCs w:val="24"/>
              </w:rPr>
            </w:pPr>
            <w:r>
              <w:rPr>
                <w:sz w:val="24"/>
                <w:szCs w:val="24"/>
              </w:rPr>
              <w:t>(1) Por al menos 21 días durante cualquier período de 30 días entre el 25 de abril de 2014 y el 31 de julio de 2016;</w:t>
            </w:r>
          </w:p>
          <w:p w14:paraId="2F5C5C3D" w14:textId="77777777" w:rsidR="00E54CE6" w:rsidRPr="00E532F9" w:rsidRDefault="0016202A">
            <w:pPr>
              <w:spacing w:after="240"/>
              <w:jc w:val="both"/>
              <w:rPr>
                <w:rFonts w:eastAsia="Calibri" w:cs="Times New Roman"/>
                <w:sz w:val="24"/>
                <w:szCs w:val="24"/>
              </w:rPr>
            </w:pPr>
            <w:r>
              <w:rPr>
                <w:sz w:val="24"/>
                <w:szCs w:val="24"/>
              </w:rPr>
              <w:t xml:space="preserve">(2) Residieron, habitaron o asistieron a escuelas o guarderías de Flint, o estuvieron expuestas de alguna forma al agua de Flint; </w:t>
            </w:r>
            <w:r>
              <w:rPr>
                <w:b/>
                <w:sz w:val="24"/>
                <w:szCs w:val="24"/>
                <w:u w:val="single"/>
              </w:rPr>
              <w:t>y</w:t>
            </w:r>
          </w:p>
          <w:p w14:paraId="054B5326" w14:textId="77777777" w:rsidR="00E54CE6" w:rsidRPr="00E532F9" w:rsidRDefault="0016202A">
            <w:pPr>
              <w:rPr>
                <w:rFonts w:eastAsia="Calibri" w:cs="Times New Roman"/>
                <w:sz w:val="24"/>
                <w:szCs w:val="24"/>
              </w:rPr>
            </w:pPr>
            <w:r>
              <w:rPr>
                <w:sz w:val="24"/>
                <w:szCs w:val="24"/>
              </w:rPr>
              <w:t xml:space="preserve">(3) No tienen pruebas del nivel de plomo en la sangre o en los huesos. </w:t>
            </w:r>
          </w:p>
          <w:p w14:paraId="35C19B1E" w14:textId="77777777" w:rsidR="00E54CE6" w:rsidRPr="00E532F9" w:rsidRDefault="00E54CE6">
            <w:pPr>
              <w:rPr>
                <w:rFonts w:eastAsia="Calibri" w:cs="Times New Roman"/>
                <w:sz w:val="24"/>
                <w:szCs w:val="24"/>
              </w:rPr>
            </w:pPr>
          </w:p>
        </w:tc>
        <w:tc>
          <w:tcPr>
            <w:tcW w:w="4317" w:type="dxa"/>
          </w:tcPr>
          <w:p w14:paraId="5F689E38" w14:textId="77777777" w:rsidR="00E54CE6" w:rsidRPr="00E532F9" w:rsidRDefault="0016202A">
            <w:pPr>
              <w:jc w:val="center"/>
              <w:rPr>
                <w:rFonts w:eastAsia="Calibri" w:cs="Times New Roman"/>
                <w:b/>
                <w:color w:val="0D0D0D"/>
                <w:sz w:val="24"/>
                <w:szCs w:val="24"/>
                <w:u w:val="single"/>
              </w:rPr>
            </w:pPr>
            <w:r>
              <w:rPr>
                <w:b/>
                <w:color w:val="0D0D0D"/>
                <w:sz w:val="24"/>
                <w:szCs w:val="24"/>
                <w:u w:val="single"/>
              </w:rPr>
              <w:t>Prestaciones Pecuniarias</w:t>
            </w:r>
          </w:p>
          <w:p w14:paraId="4B8ABFC2" w14:textId="77777777" w:rsidR="00E54CE6" w:rsidRPr="00E532F9" w:rsidRDefault="00E54CE6">
            <w:pPr>
              <w:jc w:val="center"/>
              <w:rPr>
                <w:rFonts w:eastAsia="Calibri" w:cs="Times New Roman"/>
                <w:b/>
                <w:color w:val="0070C0"/>
                <w:sz w:val="24"/>
                <w:szCs w:val="24"/>
              </w:rPr>
            </w:pPr>
          </w:p>
          <w:p w14:paraId="24EB4128" w14:textId="77777777" w:rsidR="00E54CE6" w:rsidRPr="00E532F9" w:rsidRDefault="0016202A">
            <w:pPr>
              <w:jc w:val="center"/>
              <w:rPr>
                <w:rFonts w:eastAsia="Calibri" w:cs="Times New Roman"/>
                <w:b/>
                <w:color w:val="0070C0"/>
                <w:sz w:val="24"/>
                <w:szCs w:val="24"/>
              </w:rPr>
            </w:pPr>
            <w:r>
              <w:rPr>
                <w:b/>
                <w:color w:val="0070C0"/>
                <w:sz w:val="24"/>
                <w:szCs w:val="24"/>
              </w:rPr>
              <w:t>0.15x</w:t>
            </w:r>
          </w:p>
          <w:p w14:paraId="702F608A" w14:textId="77777777" w:rsidR="00E54CE6" w:rsidRPr="00E532F9" w:rsidRDefault="00E54CE6">
            <w:pPr>
              <w:rPr>
                <w:rFonts w:eastAsia="Calibri" w:cs="Times New Roman"/>
              </w:rPr>
            </w:pPr>
          </w:p>
        </w:tc>
        <w:tc>
          <w:tcPr>
            <w:tcW w:w="4317" w:type="dxa"/>
          </w:tcPr>
          <w:p w14:paraId="64977322" w14:textId="77777777" w:rsidR="00E54CE6" w:rsidRPr="00E532F9" w:rsidRDefault="0016202A">
            <w:pPr>
              <w:autoSpaceDE w:val="0"/>
              <w:autoSpaceDN w:val="0"/>
              <w:adjustRightInd w:val="0"/>
              <w:jc w:val="center"/>
              <w:rPr>
                <w:rFonts w:eastAsia="Calibri" w:cs="Times New Roman"/>
                <w:sz w:val="24"/>
                <w:szCs w:val="24"/>
                <w:u w:val="single"/>
              </w:rPr>
            </w:pPr>
            <w:r>
              <w:rPr>
                <w:b/>
                <w:color w:val="0D0D0D"/>
                <w:sz w:val="24"/>
                <w:szCs w:val="24"/>
                <w:u w:val="single"/>
              </w:rPr>
              <w:t>Pruebas Exigidas</w:t>
            </w:r>
          </w:p>
          <w:p w14:paraId="2128D9DD" w14:textId="77777777" w:rsidR="00E54CE6" w:rsidRPr="00E532F9" w:rsidRDefault="00E54CE6">
            <w:pPr>
              <w:autoSpaceDE w:val="0"/>
              <w:autoSpaceDN w:val="0"/>
              <w:adjustRightInd w:val="0"/>
              <w:jc w:val="both"/>
              <w:rPr>
                <w:rFonts w:eastAsia="Calibri" w:cs="Times New Roman"/>
                <w:sz w:val="24"/>
                <w:szCs w:val="24"/>
                <w:u w:val="single"/>
              </w:rPr>
            </w:pPr>
          </w:p>
          <w:p w14:paraId="373AA616" w14:textId="77777777" w:rsidR="00E54CE6" w:rsidRPr="00E532F9" w:rsidRDefault="0016202A">
            <w:pPr>
              <w:autoSpaceDE w:val="0"/>
              <w:autoSpaceDN w:val="0"/>
              <w:adjustRightInd w:val="0"/>
              <w:jc w:val="both"/>
              <w:rPr>
                <w:rFonts w:eastAsia="Calibri" w:cs="Times New Roman"/>
                <w:sz w:val="24"/>
                <w:szCs w:val="24"/>
                <w:u w:val="single"/>
              </w:rPr>
            </w:pPr>
            <w:r>
              <w:rPr>
                <w:sz w:val="24"/>
                <w:szCs w:val="24"/>
                <w:u w:val="single"/>
              </w:rPr>
              <w:t>Sin nivel de plomo en la sangre o en los huesos</w:t>
            </w:r>
            <w:r>
              <w:rPr>
                <w:sz w:val="24"/>
                <w:szCs w:val="24"/>
              </w:rPr>
              <w:t>: Verificación del formulario donde se declara el cumplimiento de los requisitos, con documentación básica.</w:t>
            </w:r>
          </w:p>
        </w:tc>
      </w:tr>
      <w:tr w:rsidR="00E54CE6" w:rsidRPr="00E532F9" w14:paraId="6B9FFFE5" w14:textId="77777777">
        <w:tc>
          <w:tcPr>
            <w:tcW w:w="12950" w:type="dxa"/>
            <w:gridSpan w:val="3"/>
            <w:shd w:val="clear" w:color="auto" w:fill="B4C6E7"/>
          </w:tcPr>
          <w:p w14:paraId="5A02B9F6" w14:textId="77777777" w:rsidR="00E54CE6" w:rsidRPr="00E532F9" w:rsidRDefault="00E54CE6">
            <w:pPr>
              <w:jc w:val="center"/>
              <w:rPr>
                <w:rFonts w:eastAsia="Calibri" w:cs="Times New Roman"/>
                <w:b/>
                <w:sz w:val="24"/>
                <w:szCs w:val="24"/>
                <w:u w:val="single"/>
              </w:rPr>
            </w:pPr>
          </w:p>
          <w:p w14:paraId="35A50396" w14:textId="77777777" w:rsidR="00E54CE6" w:rsidRPr="00E532F9" w:rsidRDefault="0016202A">
            <w:pPr>
              <w:jc w:val="center"/>
              <w:rPr>
                <w:rFonts w:eastAsia="Calibri" w:cs="Times New Roman"/>
                <w:b/>
                <w:caps/>
                <w:sz w:val="24"/>
                <w:szCs w:val="24"/>
                <w:u w:val="single"/>
              </w:rPr>
            </w:pPr>
            <w:r>
              <w:rPr>
                <w:b/>
                <w:caps/>
                <w:sz w:val="24"/>
                <w:szCs w:val="24"/>
                <w:u w:val="single"/>
              </w:rPr>
              <w:t>Categoría 7</w:t>
            </w:r>
          </w:p>
          <w:p w14:paraId="16875694" w14:textId="77777777" w:rsidR="00E54CE6" w:rsidRPr="00E532F9" w:rsidRDefault="0016202A">
            <w:pPr>
              <w:jc w:val="center"/>
              <w:rPr>
                <w:rFonts w:eastAsia="Calibri" w:cs="Times New Roman"/>
                <w:sz w:val="24"/>
                <w:szCs w:val="24"/>
              </w:rPr>
            </w:pPr>
            <w:r>
              <w:rPr>
                <w:sz w:val="24"/>
                <w:szCs w:val="24"/>
                <w:u w:val="single"/>
              </w:rPr>
              <w:t>Niño, 6 años o menos</w:t>
            </w:r>
            <w:r>
              <w:rPr>
                <w:sz w:val="24"/>
                <w:szCs w:val="24"/>
              </w:rPr>
              <w:t>, expuesto al agua de Flint después del 31 de julio de 2016.</w:t>
            </w:r>
          </w:p>
          <w:p w14:paraId="6111315F" w14:textId="77777777" w:rsidR="00E54CE6" w:rsidRPr="00E532F9" w:rsidRDefault="00E54CE6">
            <w:pPr>
              <w:autoSpaceDE w:val="0"/>
              <w:autoSpaceDN w:val="0"/>
              <w:adjustRightInd w:val="0"/>
              <w:contextualSpacing/>
              <w:jc w:val="both"/>
              <w:rPr>
                <w:rFonts w:eastAsia="Calibri" w:cs="Times New Roman"/>
                <w:b/>
                <w:sz w:val="24"/>
                <w:szCs w:val="24"/>
                <w:u w:val="single"/>
              </w:rPr>
            </w:pPr>
          </w:p>
        </w:tc>
      </w:tr>
      <w:tr w:rsidR="00E54CE6" w:rsidRPr="00E532F9" w14:paraId="79AF0BDC" w14:textId="77777777">
        <w:tc>
          <w:tcPr>
            <w:tcW w:w="4316" w:type="dxa"/>
          </w:tcPr>
          <w:p w14:paraId="7428F417" w14:textId="77777777" w:rsidR="00E54CE6" w:rsidRPr="00E532F9" w:rsidRDefault="0016202A">
            <w:pPr>
              <w:jc w:val="center"/>
              <w:rPr>
                <w:rFonts w:eastAsia="Calibri" w:cs="Times New Roman"/>
                <w:b/>
                <w:sz w:val="24"/>
                <w:szCs w:val="24"/>
                <w:u w:val="single"/>
              </w:rPr>
            </w:pPr>
            <w:r>
              <w:rPr>
                <w:b/>
                <w:sz w:val="24"/>
                <w:szCs w:val="24"/>
                <w:u w:val="single"/>
              </w:rPr>
              <w:t>Descripción de la Categoría</w:t>
            </w:r>
          </w:p>
          <w:p w14:paraId="622918F4" w14:textId="77777777" w:rsidR="00E54CE6" w:rsidRPr="00E532F9" w:rsidRDefault="00E54CE6">
            <w:pPr>
              <w:jc w:val="both"/>
              <w:rPr>
                <w:rFonts w:eastAsia="Calibri" w:cs="Times New Roman"/>
                <w:b/>
                <w:sz w:val="24"/>
                <w:szCs w:val="24"/>
                <w:u w:val="single"/>
              </w:rPr>
            </w:pPr>
          </w:p>
          <w:p w14:paraId="5DAF398E" w14:textId="77777777" w:rsidR="00E54CE6" w:rsidRPr="00E532F9" w:rsidRDefault="0016202A">
            <w:pPr>
              <w:jc w:val="both"/>
              <w:rPr>
                <w:rFonts w:eastAsia="Calibri" w:cs="Times New Roman"/>
                <w:b/>
                <w:sz w:val="24"/>
                <w:szCs w:val="24"/>
                <w:u w:val="single"/>
              </w:rPr>
            </w:pPr>
            <w:r>
              <w:rPr>
                <w:b/>
                <w:sz w:val="24"/>
                <w:szCs w:val="24"/>
                <w:u w:val="single"/>
              </w:rPr>
              <w:t>Exposición al agua de Flint después del 31 de julio de 2016</w:t>
            </w:r>
          </w:p>
          <w:p w14:paraId="263FF286" w14:textId="77777777" w:rsidR="00E54CE6" w:rsidRPr="00E532F9" w:rsidRDefault="0016202A">
            <w:pPr>
              <w:jc w:val="both"/>
              <w:rPr>
                <w:rFonts w:eastAsia="Calibri" w:cs="Times New Roman"/>
                <w:iCs/>
                <w:sz w:val="24"/>
                <w:szCs w:val="24"/>
              </w:rPr>
            </w:pPr>
            <w:r>
              <w:rPr>
                <w:iCs/>
                <w:sz w:val="24"/>
                <w:szCs w:val="24"/>
              </w:rPr>
              <w:lastRenderedPageBreak/>
              <w:t>Personas de 6 años o menos en el momento de la primera exposición quienes:</w:t>
            </w:r>
          </w:p>
          <w:p w14:paraId="7E47D4C5" w14:textId="77777777" w:rsidR="00E54CE6" w:rsidRPr="00E532F9" w:rsidRDefault="00E54CE6">
            <w:pPr>
              <w:jc w:val="both"/>
              <w:rPr>
                <w:rFonts w:eastAsia="Calibri" w:cs="Times New Roman"/>
                <w:sz w:val="24"/>
                <w:szCs w:val="24"/>
              </w:rPr>
            </w:pPr>
          </w:p>
          <w:p w14:paraId="24BA7E75" w14:textId="77777777" w:rsidR="00E54CE6" w:rsidRPr="00E532F9" w:rsidRDefault="0016202A">
            <w:pPr>
              <w:jc w:val="both"/>
              <w:rPr>
                <w:rFonts w:eastAsia="Calibri" w:cs="Times New Roman"/>
                <w:sz w:val="24"/>
                <w:szCs w:val="24"/>
              </w:rPr>
            </w:pPr>
            <w:r>
              <w:rPr>
                <w:sz w:val="24"/>
                <w:szCs w:val="24"/>
              </w:rPr>
              <w:t>(1) Por al menos 21 días durante cualquier período de 30 días después del 31 de julio de 2016 y antes de la Fecha de Celebración del Acuerdo de Indemnización;</w:t>
            </w:r>
          </w:p>
          <w:p w14:paraId="21920FC5" w14:textId="77777777" w:rsidR="00E54CE6" w:rsidRPr="00E532F9" w:rsidRDefault="00E54CE6">
            <w:pPr>
              <w:jc w:val="both"/>
              <w:rPr>
                <w:rFonts w:eastAsia="Calibri" w:cs="Times New Roman"/>
                <w:sz w:val="24"/>
                <w:szCs w:val="24"/>
              </w:rPr>
            </w:pPr>
          </w:p>
          <w:p w14:paraId="7B73B40E" w14:textId="77777777" w:rsidR="00E54CE6" w:rsidRPr="00E532F9" w:rsidRDefault="0016202A">
            <w:pPr>
              <w:jc w:val="both"/>
              <w:rPr>
                <w:rFonts w:eastAsia="Calibri" w:cs="Times New Roman"/>
                <w:sz w:val="24"/>
                <w:szCs w:val="24"/>
              </w:rPr>
            </w:pPr>
            <w:r>
              <w:rPr>
                <w:sz w:val="24"/>
                <w:szCs w:val="24"/>
              </w:rPr>
              <w:t>(2) Residieron, habitaron o asistieron a escuelas o guarderías de Flint, o estuvieron expuestas de alguna forma al agua de Flint.</w:t>
            </w:r>
          </w:p>
          <w:p w14:paraId="20CF85D5" w14:textId="77777777" w:rsidR="00E54CE6" w:rsidRPr="00E532F9" w:rsidRDefault="00E54CE6">
            <w:pPr>
              <w:jc w:val="both"/>
              <w:rPr>
                <w:rFonts w:eastAsia="Calibri" w:cs="Times New Roman"/>
                <w:sz w:val="24"/>
                <w:szCs w:val="24"/>
              </w:rPr>
            </w:pPr>
          </w:p>
        </w:tc>
        <w:tc>
          <w:tcPr>
            <w:tcW w:w="4317" w:type="dxa"/>
          </w:tcPr>
          <w:p w14:paraId="544E02E3" w14:textId="77777777" w:rsidR="00E54CE6" w:rsidRPr="00E532F9" w:rsidRDefault="0016202A">
            <w:pPr>
              <w:jc w:val="center"/>
              <w:rPr>
                <w:rFonts w:eastAsia="Calibri" w:cs="Times New Roman"/>
                <w:b/>
                <w:color w:val="0070C0"/>
                <w:sz w:val="24"/>
                <w:szCs w:val="24"/>
              </w:rPr>
            </w:pPr>
            <w:r>
              <w:rPr>
                <w:b/>
                <w:color w:val="0D0D0D"/>
                <w:sz w:val="24"/>
                <w:szCs w:val="24"/>
                <w:u w:val="single"/>
              </w:rPr>
              <w:lastRenderedPageBreak/>
              <w:t>Prestaciones Pecuniarias</w:t>
            </w:r>
          </w:p>
          <w:p w14:paraId="4FD19562" w14:textId="77777777" w:rsidR="00E54CE6" w:rsidRPr="00E532F9" w:rsidRDefault="00E54CE6">
            <w:pPr>
              <w:jc w:val="center"/>
              <w:rPr>
                <w:rFonts w:eastAsia="Calibri" w:cs="Times New Roman"/>
                <w:b/>
                <w:color w:val="0070C0"/>
                <w:sz w:val="24"/>
                <w:szCs w:val="24"/>
              </w:rPr>
            </w:pPr>
          </w:p>
          <w:p w14:paraId="365C9F0D" w14:textId="77777777" w:rsidR="00E54CE6" w:rsidRPr="00E532F9" w:rsidRDefault="0016202A">
            <w:pPr>
              <w:jc w:val="center"/>
              <w:rPr>
                <w:rFonts w:eastAsia="Calibri" w:cs="Times New Roman"/>
                <w:b/>
                <w:color w:val="0070C0"/>
                <w:sz w:val="24"/>
                <w:szCs w:val="24"/>
              </w:rPr>
            </w:pPr>
            <w:r>
              <w:rPr>
                <w:b/>
                <w:color w:val="0070C0"/>
                <w:sz w:val="24"/>
                <w:szCs w:val="24"/>
              </w:rPr>
              <w:t>0.1x</w:t>
            </w:r>
          </w:p>
        </w:tc>
        <w:tc>
          <w:tcPr>
            <w:tcW w:w="4317" w:type="dxa"/>
          </w:tcPr>
          <w:p w14:paraId="1A4E9662" w14:textId="77777777" w:rsidR="00E54CE6" w:rsidRPr="00E532F9" w:rsidRDefault="0016202A">
            <w:pPr>
              <w:jc w:val="center"/>
              <w:rPr>
                <w:rFonts w:eastAsia="Calibri" w:cs="Times New Roman"/>
                <w:sz w:val="24"/>
                <w:szCs w:val="24"/>
                <w:u w:val="single"/>
              </w:rPr>
            </w:pPr>
            <w:r>
              <w:rPr>
                <w:b/>
                <w:color w:val="0D0D0D"/>
                <w:sz w:val="24"/>
                <w:szCs w:val="24"/>
                <w:u w:val="single"/>
              </w:rPr>
              <w:t>Pruebas Exigidas</w:t>
            </w:r>
          </w:p>
          <w:p w14:paraId="53EBED37" w14:textId="77777777" w:rsidR="00E54CE6" w:rsidRPr="00E532F9" w:rsidRDefault="00E54CE6">
            <w:pPr>
              <w:jc w:val="both"/>
              <w:rPr>
                <w:rFonts w:eastAsia="Calibri" w:cs="Times New Roman"/>
                <w:sz w:val="24"/>
                <w:szCs w:val="24"/>
                <w:u w:val="single"/>
              </w:rPr>
            </w:pPr>
          </w:p>
          <w:p w14:paraId="1CF838FD" w14:textId="77777777" w:rsidR="00E54CE6" w:rsidRPr="00E532F9" w:rsidRDefault="0016202A">
            <w:pPr>
              <w:jc w:val="both"/>
              <w:rPr>
                <w:rFonts w:eastAsia="Calibri" w:cs="Times New Roman"/>
              </w:rPr>
            </w:pPr>
            <w:r>
              <w:rPr>
                <w:sz w:val="24"/>
                <w:szCs w:val="24"/>
                <w:u w:val="single"/>
              </w:rPr>
              <w:t>Exposición al agua de Flint después del 31 de julio de 2016</w:t>
            </w:r>
            <w:r>
              <w:rPr>
                <w:sz w:val="24"/>
                <w:szCs w:val="24"/>
              </w:rPr>
              <w:t xml:space="preserve">: Verificación del formulario donde se declara el </w:t>
            </w:r>
            <w:r>
              <w:rPr>
                <w:sz w:val="24"/>
                <w:szCs w:val="24"/>
              </w:rPr>
              <w:lastRenderedPageBreak/>
              <w:t>cumplimiento de los requisitos, con documentación básica.</w:t>
            </w:r>
          </w:p>
        </w:tc>
      </w:tr>
    </w:tbl>
    <w:p w14:paraId="4B6701D7" w14:textId="77777777" w:rsidR="00E54CE6" w:rsidRPr="00E532F9" w:rsidRDefault="00E54CE6">
      <w:pPr>
        <w:rPr>
          <w:rFonts w:eastAsia="Calibri" w:cs="Times New Roman"/>
        </w:rPr>
      </w:pPr>
    </w:p>
    <w:p w14:paraId="49BE65F4" w14:textId="77777777" w:rsidR="00E54CE6" w:rsidRPr="00E532F9" w:rsidRDefault="0016202A">
      <w:pPr>
        <w:numPr>
          <w:ilvl w:val="0"/>
          <w:numId w:val="3"/>
        </w:numPr>
        <w:contextualSpacing/>
        <w:rPr>
          <w:rFonts w:eastAsia="Calibri" w:cs="Times New Roman"/>
          <w:b/>
          <w:bCs/>
          <w:u w:val="single"/>
        </w:rPr>
      </w:pPr>
      <w:r>
        <w:rPr>
          <w:b/>
          <w:bCs/>
          <w:u w:val="single"/>
        </w:rPr>
        <w:t>Categorías de Indemnización para Preadolescentes (entre 7 y 11 años)</w:t>
      </w:r>
    </w:p>
    <w:tbl>
      <w:tblPr>
        <w:tblStyle w:val="TableGrid1"/>
        <w:tblW w:w="0" w:type="auto"/>
        <w:tblLook w:val="04A0" w:firstRow="1" w:lastRow="0" w:firstColumn="1" w:lastColumn="0" w:noHBand="0" w:noVBand="1"/>
      </w:tblPr>
      <w:tblGrid>
        <w:gridCol w:w="4316"/>
        <w:gridCol w:w="4317"/>
        <w:gridCol w:w="4317"/>
      </w:tblGrid>
      <w:tr w:rsidR="00E54CE6" w:rsidRPr="00E532F9" w14:paraId="3672E67C" w14:textId="77777777">
        <w:tc>
          <w:tcPr>
            <w:tcW w:w="12950" w:type="dxa"/>
            <w:gridSpan w:val="3"/>
            <w:shd w:val="clear" w:color="auto" w:fill="FFF2CC"/>
          </w:tcPr>
          <w:p w14:paraId="285A1B1B" w14:textId="77777777" w:rsidR="00E54CE6" w:rsidRPr="00E532F9" w:rsidRDefault="0016202A">
            <w:pPr>
              <w:rPr>
                <w:rFonts w:eastAsia="Calibri" w:cs="Times New Roman"/>
                <w:b/>
                <w:bCs/>
                <w:sz w:val="24"/>
                <w:szCs w:val="24"/>
                <w:u w:val="single"/>
              </w:rPr>
            </w:pPr>
            <w:r>
              <w:rPr>
                <w:b/>
                <w:bCs/>
                <w:sz w:val="24"/>
                <w:szCs w:val="24"/>
                <w:u w:val="single"/>
              </w:rPr>
              <w:t>Explicación de las Prestaciones Pecuniarias</w:t>
            </w:r>
          </w:p>
          <w:p w14:paraId="23CEB001" w14:textId="77777777" w:rsidR="00E54CE6" w:rsidRPr="00E532F9" w:rsidRDefault="00E54CE6">
            <w:pPr>
              <w:rPr>
                <w:rFonts w:eastAsia="Calibri" w:cs="Times New Roman"/>
                <w:b/>
                <w:bCs/>
                <w:sz w:val="24"/>
                <w:szCs w:val="24"/>
                <w:u w:val="single"/>
              </w:rPr>
            </w:pPr>
          </w:p>
          <w:p w14:paraId="4B42DDFF" w14:textId="77777777" w:rsidR="00E54CE6" w:rsidRPr="00E532F9" w:rsidRDefault="0016202A">
            <w:pPr>
              <w:numPr>
                <w:ilvl w:val="0"/>
                <w:numId w:val="8"/>
              </w:numPr>
              <w:spacing w:after="240"/>
              <w:rPr>
                <w:rFonts w:eastAsia="Calibri" w:cs="Times New Roman"/>
                <w:sz w:val="24"/>
                <w:szCs w:val="24"/>
              </w:rPr>
            </w:pPr>
            <w:r>
              <w:rPr>
                <w:sz w:val="24"/>
                <w:szCs w:val="24"/>
              </w:rPr>
              <w:t>Los montos de la Prestación Pecuniaria para las Categorías de menores de edad entre 7 y 11 años se indican como un factor de “y”.</w:t>
            </w:r>
          </w:p>
          <w:p w14:paraId="5F4B4BFD" w14:textId="77777777" w:rsidR="00E54CE6" w:rsidRPr="00E532F9" w:rsidRDefault="0016202A">
            <w:pPr>
              <w:numPr>
                <w:ilvl w:val="0"/>
                <w:numId w:val="8"/>
              </w:numPr>
              <w:spacing w:after="240"/>
              <w:rPr>
                <w:rFonts w:eastAsia="Calibri" w:cs="Times New Roman"/>
                <w:sz w:val="24"/>
                <w:szCs w:val="24"/>
              </w:rPr>
            </w:pPr>
            <w:r>
              <w:rPr>
                <w:sz w:val="24"/>
                <w:szCs w:val="24"/>
              </w:rPr>
              <w:t>Se asignará 10% del Fondo de Indemnización Calificado de los Casos del Agua de Flint al total de todas las Categorías “y”, tal como se describe en la nota al pie 1.</w:t>
            </w:r>
          </w:p>
          <w:p w14:paraId="66AF0645" w14:textId="77777777" w:rsidR="00E54CE6" w:rsidRPr="00E532F9" w:rsidRDefault="0016202A">
            <w:pPr>
              <w:numPr>
                <w:ilvl w:val="0"/>
                <w:numId w:val="8"/>
              </w:numPr>
              <w:spacing w:after="240"/>
              <w:rPr>
                <w:rFonts w:eastAsia="Calibri" w:cs="Times New Roman"/>
              </w:rPr>
            </w:pPr>
            <w:r>
              <w:rPr>
                <w:sz w:val="24"/>
                <w:szCs w:val="24"/>
              </w:rPr>
              <w:t xml:space="preserve">El Administrador de Reclamaciones determinará el monto real de “y” en dólares después de procesar todas las Reclamaciones (a excepción de las Reclamaciones Futuras del Fondo de Indemnización </w:t>
            </w:r>
            <w:proofErr w:type="spellStart"/>
            <w:r>
              <w:rPr>
                <w:sz w:val="24"/>
                <w:szCs w:val="24"/>
              </w:rPr>
              <w:t>Subcalificado</w:t>
            </w:r>
            <w:proofErr w:type="spellEnd"/>
            <w:r>
              <w:rPr>
                <w:sz w:val="24"/>
                <w:szCs w:val="24"/>
              </w:rPr>
              <w:t xml:space="preserve"> para Menores de Edad), dado que “y” se basa en el número de Reclamantes que reciben las Prestaciones Pecuniarias en cada Categoría respectiva.</w:t>
            </w:r>
          </w:p>
          <w:p w14:paraId="63906B57" w14:textId="77777777" w:rsidR="00E54CE6" w:rsidRPr="00E532F9" w:rsidRDefault="0016202A">
            <w:pPr>
              <w:numPr>
                <w:ilvl w:val="0"/>
                <w:numId w:val="8"/>
              </w:numPr>
              <w:spacing w:after="240"/>
              <w:jc w:val="both"/>
              <w:rPr>
                <w:rFonts w:eastAsia="Calibri" w:cs="Times New Roman"/>
              </w:rPr>
            </w:pPr>
            <w:r>
              <w:rPr>
                <w:sz w:val="24"/>
                <w:szCs w:val="24"/>
              </w:rPr>
              <w:t>Si bien se pueden estimar los montos de la Prestación Pecuniaria sobre la base de “y” antes de que el Administrador de Reclamaciones procese efectivamente todas las Reclamaciones, serán solo estimaciones que están sujetas a un número de variables que no se pueden determinar hasta que se procesen todas las Reclamaciones. Por lo tanto, las Prestaciones Pecuniarias reales podrían variar significativamente de las estimaciones previas de tales prestaciones.</w:t>
            </w:r>
          </w:p>
        </w:tc>
      </w:tr>
      <w:tr w:rsidR="00E54CE6" w:rsidRPr="00E532F9" w14:paraId="0C923A54" w14:textId="77777777">
        <w:tc>
          <w:tcPr>
            <w:tcW w:w="12950" w:type="dxa"/>
            <w:gridSpan w:val="3"/>
            <w:shd w:val="clear" w:color="auto" w:fill="B4C6E7"/>
          </w:tcPr>
          <w:p w14:paraId="710102E1" w14:textId="77777777" w:rsidR="00E54CE6" w:rsidRPr="00E532F9" w:rsidRDefault="00E54CE6">
            <w:pPr>
              <w:jc w:val="center"/>
              <w:rPr>
                <w:rFonts w:eastAsia="Calibri" w:cs="Times New Roman"/>
                <w:b/>
                <w:sz w:val="24"/>
                <w:szCs w:val="24"/>
                <w:u w:val="single"/>
              </w:rPr>
            </w:pPr>
          </w:p>
          <w:p w14:paraId="4ED857CA" w14:textId="77777777" w:rsidR="00E54CE6" w:rsidRPr="00E532F9" w:rsidRDefault="0016202A">
            <w:pPr>
              <w:jc w:val="center"/>
              <w:rPr>
                <w:rFonts w:eastAsia="Calibri" w:cs="Times New Roman"/>
                <w:b/>
                <w:caps/>
                <w:sz w:val="24"/>
                <w:szCs w:val="24"/>
                <w:u w:val="single"/>
              </w:rPr>
            </w:pPr>
            <w:r>
              <w:rPr>
                <w:b/>
                <w:caps/>
                <w:sz w:val="24"/>
                <w:szCs w:val="24"/>
                <w:u w:val="single"/>
              </w:rPr>
              <w:t>Categoría 8</w:t>
            </w:r>
          </w:p>
          <w:p w14:paraId="5CACC981" w14:textId="77777777" w:rsidR="00E54CE6" w:rsidRPr="00E532F9" w:rsidRDefault="0016202A">
            <w:pPr>
              <w:autoSpaceDE w:val="0"/>
              <w:autoSpaceDN w:val="0"/>
              <w:adjustRightInd w:val="0"/>
              <w:contextualSpacing/>
              <w:jc w:val="center"/>
              <w:rPr>
                <w:rFonts w:eastAsia="Calibri" w:cs="Times New Roman"/>
                <w:sz w:val="24"/>
                <w:szCs w:val="24"/>
              </w:rPr>
            </w:pPr>
            <w:r>
              <w:rPr>
                <w:sz w:val="24"/>
                <w:szCs w:val="24"/>
                <w:u w:val="single"/>
              </w:rPr>
              <w:t>Preadolescente, entre 7 y 11 años</w:t>
            </w:r>
            <w:r>
              <w:rPr>
                <w:sz w:val="24"/>
                <w:szCs w:val="24"/>
              </w:rPr>
              <w:t>, nivel de plomo.</w:t>
            </w:r>
          </w:p>
          <w:p w14:paraId="6BBB53FE" w14:textId="77777777" w:rsidR="00E54CE6" w:rsidRPr="00E532F9" w:rsidRDefault="00E54CE6">
            <w:pPr>
              <w:autoSpaceDE w:val="0"/>
              <w:autoSpaceDN w:val="0"/>
              <w:adjustRightInd w:val="0"/>
              <w:contextualSpacing/>
              <w:jc w:val="center"/>
              <w:rPr>
                <w:rFonts w:eastAsia="Calibri" w:cs="Times New Roman"/>
                <w:b/>
                <w:sz w:val="24"/>
                <w:szCs w:val="24"/>
                <w:u w:val="single"/>
              </w:rPr>
            </w:pPr>
          </w:p>
        </w:tc>
      </w:tr>
      <w:tr w:rsidR="00E54CE6" w:rsidRPr="00E532F9" w14:paraId="3E832AFF" w14:textId="77777777">
        <w:tc>
          <w:tcPr>
            <w:tcW w:w="4316" w:type="dxa"/>
          </w:tcPr>
          <w:p w14:paraId="60D45027" w14:textId="77777777" w:rsidR="00E54CE6" w:rsidRPr="00E532F9" w:rsidRDefault="0016202A">
            <w:pPr>
              <w:jc w:val="center"/>
              <w:rPr>
                <w:rFonts w:eastAsia="Calibri" w:cs="Times New Roman"/>
                <w:b/>
                <w:bCs/>
                <w:sz w:val="24"/>
                <w:szCs w:val="24"/>
                <w:u w:val="single"/>
              </w:rPr>
            </w:pPr>
            <w:r>
              <w:rPr>
                <w:b/>
                <w:bCs/>
                <w:sz w:val="24"/>
                <w:szCs w:val="24"/>
                <w:u w:val="single"/>
              </w:rPr>
              <w:t>Descripción de la Categoría</w:t>
            </w:r>
          </w:p>
          <w:p w14:paraId="4C13C561" w14:textId="77777777" w:rsidR="00E54CE6" w:rsidRPr="00E532F9" w:rsidRDefault="00E54CE6">
            <w:pPr>
              <w:jc w:val="both"/>
              <w:rPr>
                <w:rFonts w:eastAsia="Calibri" w:cs="Times New Roman"/>
                <w:i/>
                <w:iCs/>
                <w:sz w:val="24"/>
                <w:szCs w:val="24"/>
              </w:rPr>
            </w:pPr>
          </w:p>
          <w:p w14:paraId="2D87F295" w14:textId="77777777" w:rsidR="00E54CE6" w:rsidRPr="00E532F9" w:rsidRDefault="0016202A">
            <w:pPr>
              <w:jc w:val="both"/>
              <w:rPr>
                <w:rFonts w:eastAsia="Calibri" w:cs="Times New Roman"/>
                <w:b/>
                <w:iCs/>
                <w:sz w:val="24"/>
                <w:szCs w:val="24"/>
                <w:u w:val="single"/>
              </w:rPr>
            </w:pPr>
            <w:r>
              <w:rPr>
                <w:b/>
                <w:iCs/>
                <w:sz w:val="24"/>
                <w:szCs w:val="24"/>
                <w:u w:val="single"/>
              </w:rPr>
              <w:t>Nivel de Plomo</w:t>
            </w:r>
          </w:p>
          <w:p w14:paraId="5371F786" w14:textId="77777777" w:rsidR="00E54CE6" w:rsidRPr="00E532F9" w:rsidRDefault="0016202A">
            <w:pPr>
              <w:jc w:val="both"/>
              <w:rPr>
                <w:rFonts w:eastAsia="Calibri" w:cs="Times New Roman"/>
                <w:sz w:val="24"/>
                <w:szCs w:val="24"/>
              </w:rPr>
            </w:pPr>
            <w:r>
              <w:rPr>
                <w:iCs/>
                <w:sz w:val="24"/>
                <w:szCs w:val="24"/>
              </w:rPr>
              <w:t>Personas entre 7 y 11 años en el momento de la primera exposición quienes</w:t>
            </w:r>
            <w:r>
              <w:rPr>
                <w:sz w:val="24"/>
                <w:szCs w:val="24"/>
              </w:rPr>
              <w:t>:</w:t>
            </w:r>
          </w:p>
          <w:p w14:paraId="5631AEC3" w14:textId="77777777" w:rsidR="00E54CE6" w:rsidRPr="00E532F9" w:rsidRDefault="00E54CE6">
            <w:pPr>
              <w:jc w:val="both"/>
              <w:rPr>
                <w:rFonts w:eastAsia="Calibri" w:cs="Times New Roman"/>
                <w:sz w:val="24"/>
                <w:szCs w:val="24"/>
              </w:rPr>
            </w:pPr>
          </w:p>
          <w:p w14:paraId="4B0A5BEF" w14:textId="77777777" w:rsidR="00E54CE6" w:rsidRPr="00E532F9" w:rsidRDefault="0016202A">
            <w:pPr>
              <w:numPr>
                <w:ilvl w:val="0"/>
                <w:numId w:val="4"/>
              </w:numPr>
              <w:contextualSpacing/>
              <w:jc w:val="both"/>
              <w:rPr>
                <w:rFonts w:eastAsia="Calibri" w:cs="Times New Roman"/>
                <w:sz w:val="24"/>
                <w:szCs w:val="24"/>
              </w:rPr>
            </w:pPr>
            <w:r>
              <w:rPr>
                <w:sz w:val="24"/>
                <w:szCs w:val="24"/>
              </w:rPr>
              <w:t>Por al menos 21 días durante cualquier período de 30 días entre el 25 de abril de 2014 y el 31 de julio de 2016;</w:t>
            </w:r>
          </w:p>
          <w:p w14:paraId="6775CBA5" w14:textId="77777777" w:rsidR="00E54CE6" w:rsidRPr="00E532F9" w:rsidRDefault="00E54CE6">
            <w:pPr>
              <w:ind w:left="360"/>
              <w:contextualSpacing/>
              <w:jc w:val="both"/>
              <w:rPr>
                <w:rFonts w:eastAsia="Calibri" w:cs="Times New Roman"/>
                <w:sz w:val="24"/>
                <w:szCs w:val="24"/>
              </w:rPr>
            </w:pPr>
          </w:p>
          <w:p w14:paraId="2D126165" w14:textId="77777777" w:rsidR="00E54CE6" w:rsidRPr="00E532F9" w:rsidRDefault="0016202A">
            <w:pPr>
              <w:numPr>
                <w:ilvl w:val="0"/>
                <w:numId w:val="4"/>
              </w:numPr>
              <w:contextualSpacing/>
              <w:jc w:val="both"/>
              <w:rPr>
                <w:rFonts w:eastAsia="Calibri" w:cs="Times New Roman"/>
                <w:sz w:val="24"/>
                <w:szCs w:val="24"/>
              </w:rPr>
            </w:pPr>
            <w:r>
              <w:rPr>
                <w:sz w:val="24"/>
                <w:szCs w:val="24"/>
              </w:rPr>
              <w:t xml:space="preserve"> Residieron, habitaron o asistieron a escuelas o guarderías de Flint, o estuvieron expuestas de alguna forma al agua de Flint; </w:t>
            </w:r>
            <w:r>
              <w:rPr>
                <w:b/>
                <w:sz w:val="24"/>
                <w:szCs w:val="24"/>
                <w:u w:val="single"/>
              </w:rPr>
              <w:t>y</w:t>
            </w:r>
          </w:p>
          <w:p w14:paraId="352F1B1C" w14:textId="77777777" w:rsidR="00E54CE6" w:rsidRPr="00E532F9" w:rsidRDefault="00E54CE6">
            <w:pPr>
              <w:contextualSpacing/>
              <w:jc w:val="both"/>
              <w:rPr>
                <w:rFonts w:eastAsia="Calibri" w:cs="Times New Roman"/>
                <w:sz w:val="24"/>
                <w:szCs w:val="24"/>
              </w:rPr>
            </w:pPr>
          </w:p>
          <w:p w14:paraId="6B2FDC95" w14:textId="77777777" w:rsidR="00E54CE6" w:rsidRPr="00E532F9" w:rsidRDefault="0016202A">
            <w:pPr>
              <w:numPr>
                <w:ilvl w:val="0"/>
                <w:numId w:val="4"/>
              </w:numPr>
              <w:contextualSpacing/>
              <w:jc w:val="both"/>
              <w:rPr>
                <w:rFonts w:eastAsia="Calibri" w:cs="Times New Roman"/>
                <w:sz w:val="24"/>
                <w:szCs w:val="24"/>
              </w:rPr>
            </w:pPr>
            <w:r>
              <w:rPr>
                <w:sz w:val="24"/>
                <w:szCs w:val="24"/>
              </w:rPr>
              <w:t xml:space="preserve">Obtuvieron un resultado de 10.0 </w:t>
            </w:r>
            <w:proofErr w:type="spellStart"/>
            <w:r>
              <w:rPr>
                <w:sz w:val="24"/>
                <w:szCs w:val="24"/>
              </w:rPr>
              <w:t>mcg</w:t>
            </w:r>
            <w:proofErr w:type="spellEnd"/>
            <w:r>
              <w:rPr>
                <w:sz w:val="24"/>
                <w:szCs w:val="24"/>
              </w:rPr>
              <w:t>/</w:t>
            </w:r>
            <w:proofErr w:type="spellStart"/>
            <w:r>
              <w:rPr>
                <w:sz w:val="24"/>
                <w:szCs w:val="24"/>
              </w:rPr>
              <w:t>dL</w:t>
            </w:r>
            <w:proofErr w:type="spellEnd"/>
            <w:r>
              <w:rPr>
                <w:sz w:val="24"/>
                <w:szCs w:val="24"/>
              </w:rPr>
              <w:t xml:space="preserve"> o superior en una prueba de nivel de plomo en la sangre realizada entre el 16 de mayo de 2014 y el 31 de agosto de 2016; </w:t>
            </w:r>
            <w:r>
              <w:rPr>
                <w:b/>
                <w:sz w:val="24"/>
                <w:szCs w:val="24"/>
                <w:u w:val="single"/>
              </w:rPr>
              <w:t xml:space="preserve">o </w:t>
            </w:r>
            <w:r>
              <w:rPr>
                <w:sz w:val="24"/>
                <w:szCs w:val="24"/>
              </w:rPr>
              <w:t xml:space="preserve">un resultado de 10.0 </w:t>
            </w:r>
            <w:proofErr w:type="spellStart"/>
            <w:r>
              <w:rPr>
                <w:sz w:val="24"/>
                <w:szCs w:val="24"/>
              </w:rPr>
              <w:t>ug</w:t>
            </w:r>
            <w:proofErr w:type="spellEnd"/>
            <w:r>
              <w:rPr>
                <w:sz w:val="24"/>
                <w:szCs w:val="24"/>
              </w:rPr>
              <w:t>/G o superior en la prueba de cuantificación de plomo in vivo en los huesos de una persona realizada entre el 16 de mayo de 2014 y los 90 días posteriores a la fecha de la Orden de Aprobación Preliminar.</w:t>
            </w:r>
          </w:p>
          <w:p w14:paraId="58C1F31E" w14:textId="77777777" w:rsidR="00E54CE6" w:rsidRDefault="00E54CE6">
            <w:pPr>
              <w:rPr>
                <w:rFonts w:eastAsia="Calibri" w:cs="Times New Roman"/>
              </w:rPr>
            </w:pPr>
          </w:p>
          <w:p w14:paraId="262E310C" w14:textId="56C82F0D" w:rsidR="00BE39BF" w:rsidRPr="00E532F9" w:rsidRDefault="00BE39BF">
            <w:pPr>
              <w:rPr>
                <w:rFonts w:eastAsia="Calibri" w:cs="Times New Roman"/>
              </w:rPr>
            </w:pPr>
          </w:p>
        </w:tc>
        <w:tc>
          <w:tcPr>
            <w:tcW w:w="4317" w:type="dxa"/>
          </w:tcPr>
          <w:p w14:paraId="551C6902" w14:textId="77777777" w:rsidR="00E54CE6" w:rsidRPr="00E532F9" w:rsidRDefault="0016202A">
            <w:pPr>
              <w:jc w:val="center"/>
              <w:rPr>
                <w:rFonts w:eastAsia="Calibri" w:cs="Times New Roman"/>
                <w:b/>
                <w:color w:val="0070C0"/>
                <w:sz w:val="24"/>
                <w:szCs w:val="24"/>
              </w:rPr>
            </w:pPr>
            <w:r>
              <w:rPr>
                <w:b/>
                <w:color w:val="0D0D0D"/>
                <w:sz w:val="24"/>
                <w:szCs w:val="24"/>
                <w:u w:val="single"/>
              </w:rPr>
              <w:t>Prestaciones Pecuniarias</w:t>
            </w:r>
          </w:p>
          <w:p w14:paraId="3DF54ECA" w14:textId="77777777" w:rsidR="00E54CE6" w:rsidRPr="00E532F9" w:rsidRDefault="00E54CE6">
            <w:pPr>
              <w:jc w:val="center"/>
              <w:rPr>
                <w:rFonts w:eastAsia="Calibri" w:cs="Times New Roman"/>
                <w:b/>
                <w:color w:val="0070C0"/>
                <w:sz w:val="24"/>
                <w:szCs w:val="24"/>
              </w:rPr>
            </w:pPr>
          </w:p>
          <w:p w14:paraId="06DC65CA" w14:textId="77777777" w:rsidR="00E54CE6" w:rsidRPr="00E532F9" w:rsidRDefault="0016202A">
            <w:pPr>
              <w:jc w:val="center"/>
              <w:rPr>
                <w:rFonts w:eastAsia="Calibri" w:cs="Times New Roman"/>
                <w:b/>
                <w:color w:val="0070C0"/>
                <w:sz w:val="24"/>
                <w:szCs w:val="24"/>
              </w:rPr>
            </w:pPr>
            <w:r>
              <w:rPr>
                <w:b/>
                <w:color w:val="0070C0"/>
                <w:sz w:val="24"/>
                <w:szCs w:val="24"/>
              </w:rPr>
              <w:t>2y</w:t>
            </w:r>
          </w:p>
          <w:p w14:paraId="5039B805" w14:textId="77777777" w:rsidR="00E54CE6" w:rsidRPr="00E532F9" w:rsidRDefault="00E54CE6">
            <w:pPr>
              <w:rPr>
                <w:rFonts w:eastAsia="Calibri" w:cs="Times New Roman"/>
                <w:b/>
                <w:color w:val="0070C0"/>
                <w:sz w:val="24"/>
                <w:szCs w:val="24"/>
              </w:rPr>
            </w:pPr>
          </w:p>
          <w:p w14:paraId="51557627" w14:textId="77777777" w:rsidR="00E54CE6" w:rsidRPr="00E532F9" w:rsidRDefault="00E54CE6">
            <w:pPr>
              <w:jc w:val="both"/>
              <w:rPr>
                <w:rFonts w:eastAsia="Calibri" w:cs="Times New Roman"/>
              </w:rPr>
            </w:pPr>
          </w:p>
        </w:tc>
        <w:tc>
          <w:tcPr>
            <w:tcW w:w="4317" w:type="dxa"/>
          </w:tcPr>
          <w:p w14:paraId="56A283F1" w14:textId="77777777" w:rsidR="00E54CE6" w:rsidRPr="00E532F9" w:rsidRDefault="0016202A">
            <w:pPr>
              <w:jc w:val="center"/>
              <w:rPr>
                <w:rFonts w:eastAsia="Calibri" w:cs="Times New Roman"/>
                <w:sz w:val="24"/>
                <w:szCs w:val="24"/>
                <w:u w:val="single"/>
              </w:rPr>
            </w:pPr>
            <w:r>
              <w:rPr>
                <w:b/>
                <w:color w:val="0D0D0D"/>
                <w:sz w:val="24"/>
                <w:szCs w:val="24"/>
                <w:u w:val="single"/>
              </w:rPr>
              <w:t>Pruebas Exigidas</w:t>
            </w:r>
          </w:p>
          <w:p w14:paraId="33ACA339" w14:textId="77777777" w:rsidR="00E54CE6" w:rsidRPr="00E532F9" w:rsidRDefault="00E54CE6">
            <w:pPr>
              <w:jc w:val="both"/>
              <w:rPr>
                <w:rFonts w:eastAsia="Calibri" w:cs="Times New Roman"/>
                <w:sz w:val="24"/>
                <w:szCs w:val="24"/>
                <w:u w:val="single"/>
              </w:rPr>
            </w:pPr>
          </w:p>
          <w:p w14:paraId="00FE800D" w14:textId="77777777" w:rsidR="00E54CE6" w:rsidRPr="00E532F9" w:rsidRDefault="0016202A">
            <w:pPr>
              <w:jc w:val="both"/>
              <w:rPr>
                <w:rFonts w:eastAsia="Calibri" w:cs="Times New Roman"/>
              </w:rPr>
            </w:pPr>
            <w:r>
              <w:rPr>
                <w:sz w:val="24"/>
                <w:szCs w:val="24"/>
                <w:u w:val="single"/>
              </w:rPr>
              <w:t>Pruebas en la sangre o en los huesos</w:t>
            </w:r>
            <w:r>
              <w:rPr>
                <w:sz w:val="24"/>
                <w:szCs w:val="24"/>
              </w:rPr>
              <w:t xml:space="preserve">: tal como se describe en las pruebas exigidas para la Categoría 1. </w:t>
            </w:r>
          </w:p>
        </w:tc>
      </w:tr>
      <w:tr w:rsidR="00E54CE6" w:rsidRPr="00E532F9" w14:paraId="08AA6F42" w14:textId="77777777">
        <w:tc>
          <w:tcPr>
            <w:tcW w:w="12950" w:type="dxa"/>
            <w:gridSpan w:val="3"/>
            <w:shd w:val="clear" w:color="auto" w:fill="B4C6E7"/>
          </w:tcPr>
          <w:p w14:paraId="49153BEC" w14:textId="77777777" w:rsidR="00E54CE6" w:rsidRPr="00E532F9" w:rsidRDefault="00E54CE6">
            <w:pPr>
              <w:jc w:val="center"/>
              <w:rPr>
                <w:rFonts w:eastAsia="Calibri" w:cs="Times New Roman"/>
                <w:b/>
                <w:sz w:val="24"/>
                <w:szCs w:val="24"/>
                <w:u w:val="single"/>
              </w:rPr>
            </w:pPr>
          </w:p>
          <w:p w14:paraId="4EA8B662" w14:textId="77777777" w:rsidR="00E54CE6" w:rsidRPr="00E532F9" w:rsidRDefault="0016202A">
            <w:pPr>
              <w:jc w:val="center"/>
              <w:rPr>
                <w:rFonts w:eastAsia="Calibri" w:cs="Times New Roman"/>
                <w:b/>
                <w:caps/>
                <w:sz w:val="24"/>
                <w:szCs w:val="24"/>
                <w:u w:val="single"/>
              </w:rPr>
            </w:pPr>
            <w:r>
              <w:rPr>
                <w:b/>
                <w:caps/>
                <w:sz w:val="24"/>
                <w:szCs w:val="24"/>
                <w:u w:val="single"/>
              </w:rPr>
              <w:t>Categoría 9</w:t>
            </w:r>
          </w:p>
          <w:p w14:paraId="3969ABCA" w14:textId="77777777" w:rsidR="00E54CE6" w:rsidRPr="00E532F9" w:rsidRDefault="0016202A">
            <w:pPr>
              <w:jc w:val="center"/>
              <w:rPr>
                <w:rFonts w:eastAsia="Calibri" w:cs="Times New Roman"/>
                <w:sz w:val="24"/>
                <w:szCs w:val="24"/>
              </w:rPr>
            </w:pPr>
            <w:r>
              <w:rPr>
                <w:sz w:val="24"/>
                <w:szCs w:val="24"/>
                <w:u w:val="single"/>
              </w:rPr>
              <w:t>Preadolescente, entre 7 y 11 años</w:t>
            </w:r>
            <w:r>
              <w:rPr>
                <w:sz w:val="24"/>
                <w:szCs w:val="24"/>
              </w:rPr>
              <w:t>, nivel de plomo.</w:t>
            </w:r>
          </w:p>
          <w:p w14:paraId="25F02439" w14:textId="77777777" w:rsidR="00E54CE6" w:rsidRPr="00E532F9" w:rsidRDefault="00E54CE6">
            <w:pPr>
              <w:autoSpaceDE w:val="0"/>
              <w:autoSpaceDN w:val="0"/>
              <w:adjustRightInd w:val="0"/>
              <w:contextualSpacing/>
              <w:jc w:val="both"/>
              <w:rPr>
                <w:rFonts w:eastAsia="Calibri" w:cs="Times New Roman"/>
                <w:b/>
                <w:sz w:val="24"/>
                <w:szCs w:val="24"/>
                <w:u w:val="single"/>
              </w:rPr>
            </w:pPr>
          </w:p>
        </w:tc>
      </w:tr>
      <w:tr w:rsidR="00E54CE6" w:rsidRPr="00E532F9" w14:paraId="36842249" w14:textId="77777777">
        <w:tc>
          <w:tcPr>
            <w:tcW w:w="4316" w:type="dxa"/>
          </w:tcPr>
          <w:p w14:paraId="0D7AF492" w14:textId="77777777" w:rsidR="00E54CE6" w:rsidRPr="00E532F9" w:rsidRDefault="0016202A">
            <w:pPr>
              <w:jc w:val="center"/>
              <w:rPr>
                <w:rFonts w:eastAsia="Calibri" w:cs="Times New Roman"/>
                <w:b/>
                <w:bCs/>
                <w:sz w:val="24"/>
                <w:szCs w:val="24"/>
                <w:u w:val="single"/>
              </w:rPr>
            </w:pPr>
            <w:r>
              <w:rPr>
                <w:b/>
                <w:bCs/>
                <w:sz w:val="24"/>
                <w:szCs w:val="24"/>
                <w:u w:val="single"/>
              </w:rPr>
              <w:t>Descripción de la Categoría</w:t>
            </w:r>
          </w:p>
          <w:p w14:paraId="4105445B" w14:textId="77777777" w:rsidR="00E54CE6" w:rsidRPr="00E532F9" w:rsidRDefault="00E54CE6">
            <w:pPr>
              <w:jc w:val="both"/>
              <w:rPr>
                <w:rFonts w:eastAsia="Calibri" w:cs="Times New Roman"/>
                <w:i/>
                <w:iCs/>
                <w:sz w:val="24"/>
                <w:szCs w:val="24"/>
              </w:rPr>
            </w:pPr>
          </w:p>
          <w:p w14:paraId="021C1D32" w14:textId="77777777" w:rsidR="00E54CE6" w:rsidRPr="00E532F9" w:rsidRDefault="0016202A">
            <w:pPr>
              <w:jc w:val="both"/>
              <w:rPr>
                <w:rFonts w:eastAsia="Calibri" w:cs="Times New Roman"/>
                <w:b/>
                <w:iCs/>
                <w:sz w:val="24"/>
                <w:szCs w:val="24"/>
                <w:u w:val="single"/>
              </w:rPr>
            </w:pPr>
            <w:r>
              <w:rPr>
                <w:b/>
                <w:iCs/>
                <w:sz w:val="24"/>
                <w:szCs w:val="24"/>
                <w:u w:val="single"/>
              </w:rPr>
              <w:t>Nivel de Plomo</w:t>
            </w:r>
          </w:p>
          <w:p w14:paraId="0B98BB3E" w14:textId="77777777" w:rsidR="00E54CE6" w:rsidRPr="00E532F9" w:rsidRDefault="0016202A">
            <w:pPr>
              <w:jc w:val="both"/>
              <w:rPr>
                <w:rFonts w:eastAsia="Calibri" w:cs="Times New Roman"/>
                <w:sz w:val="24"/>
                <w:szCs w:val="24"/>
              </w:rPr>
            </w:pPr>
            <w:r>
              <w:rPr>
                <w:iCs/>
                <w:sz w:val="24"/>
                <w:szCs w:val="24"/>
              </w:rPr>
              <w:t>Personas entre 7 y 11 años en el momento de la primera exposición quienes</w:t>
            </w:r>
            <w:r>
              <w:rPr>
                <w:sz w:val="24"/>
                <w:szCs w:val="24"/>
              </w:rPr>
              <w:t>:</w:t>
            </w:r>
          </w:p>
          <w:p w14:paraId="7D53F637" w14:textId="77777777" w:rsidR="00E54CE6" w:rsidRPr="00E532F9" w:rsidRDefault="00E54CE6">
            <w:pPr>
              <w:jc w:val="both"/>
              <w:rPr>
                <w:rFonts w:eastAsia="Calibri" w:cs="Times New Roman"/>
                <w:sz w:val="24"/>
                <w:szCs w:val="24"/>
              </w:rPr>
            </w:pPr>
          </w:p>
          <w:p w14:paraId="191991C3" w14:textId="77777777" w:rsidR="00E54CE6" w:rsidRPr="00E532F9" w:rsidRDefault="0016202A">
            <w:pPr>
              <w:jc w:val="both"/>
              <w:rPr>
                <w:rFonts w:eastAsia="Calibri" w:cs="Times New Roman"/>
                <w:sz w:val="24"/>
                <w:szCs w:val="24"/>
              </w:rPr>
            </w:pPr>
            <w:r>
              <w:rPr>
                <w:sz w:val="24"/>
                <w:szCs w:val="24"/>
              </w:rPr>
              <w:t>(1) Por al menos 21 días durante cualquier período de 30 días entre el 25 de abril de 2014 y el 31 de julio de 2016;</w:t>
            </w:r>
          </w:p>
          <w:p w14:paraId="04F99EDD" w14:textId="77777777" w:rsidR="00E54CE6" w:rsidRPr="00E532F9" w:rsidRDefault="00E54CE6">
            <w:pPr>
              <w:jc w:val="both"/>
              <w:rPr>
                <w:rFonts w:eastAsia="Calibri" w:cs="Times New Roman"/>
                <w:sz w:val="24"/>
                <w:szCs w:val="24"/>
              </w:rPr>
            </w:pPr>
          </w:p>
          <w:p w14:paraId="77504086" w14:textId="77777777" w:rsidR="00E54CE6" w:rsidRPr="00E532F9" w:rsidRDefault="0016202A">
            <w:pPr>
              <w:jc w:val="both"/>
              <w:rPr>
                <w:rFonts w:eastAsia="Calibri" w:cs="Times New Roman"/>
                <w:b/>
                <w:sz w:val="24"/>
                <w:szCs w:val="24"/>
                <w:u w:val="single"/>
              </w:rPr>
            </w:pPr>
            <w:r>
              <w:rPr>
                <w:sz w:val="24"/>
                <w:szCs w:val="24"/>
              </w:rPr>
              <w:t xml:space="preserve">(2) Residieron, habitaron o asistieron a escuelas o guarderías de Flint, o estuvieron expuestas de alguna forma al agua de Flint; </w:t>
            </w:r>
            <w:r>
              <w:rPr>
                <w:b/>
                <w:sz w:val="24"/>
                <w:szCs w:val="24"/>
                <w:u w:val="single"/>
              </w:rPr>
              <w:t>y</w:t>
            </w:r>
          </w:p>
          <w:p w14:paraId="5CC85661" w14:textId="77777777" w:rsidR="00E54CE6" w:rsidRPr="00E532F9" w:rsidRDefault="00E54CE6">
            <w:pPr>
              <w:jc w:val="both"/>
              <w:rPr>
                <w:rFonts w:eastAsia="Calibri" w:cs="Times New Roman"/>
                <w:sz w:val="24"/>
                <w:szCs w:val="24"/>
              </w:rPr>
            </w:pPr>
          </w:p>
          <w:p w14:paraId="0CA6B144" w14:textId="77777777" w:rsidR="00E54CE6" w:rsidRPr="00E532F9" w:rsidRDefault="0016202A">
            <w:pPr>
              <w:jc w:val="both"/>
              <w:rPr>
                <w:rFonts w:eastAsia="Calibri" w:cs="Times New Roman"/>
                <w:sz w:val="24"/>
                <w:szCs w:val="24"/>
              </w:rPr>
            </w:pPr>
            <w:r>
              <w:rPr>
                <w:sz w:val="24"/>
                <w:szCs w:val="24"/>
              </w:rPr>
              <w:t xml:space="preserve">(3) Obtuvieron un resultado de o entre 5.0 y 9.9 </w:t>
            </w:r>
            <w:proofErr w:type="spellStart"/>
            <w:r>
              <w:rPr>
                <w:sz w:val="24"/>
                <w:szCs w:val="24"/>
              </w:rPr>
              <w:t>mcg</w:t>
            </w:r>
            <w:proofErr w:type="spellEnd"/>
            <w:r>
              <w:rPr>
                <w:sz w:val="24"/>
                <w:szCs w:val="24"/>
              </w:rPr>
              <w:t>/</w:t>
            </w:r>
            <w:proofErr w:type="spellStart"/>
            <w:r>
              <w:rPr>
                <w:sz w:val="24"/>
                <w:szCs w:val="24"/>
              </w:rPr>
              <w:t>dL</w:t>
            </w:r>
            <w:proofErr w:type="spellEnd"/>
            <w:r>
              <w:rPr>
                <w:sz w:val="24"/>
                <w:szCs w:val="24"/>
              </w:rPr>
              <w:t xml:space="preserve"> en una prueba de nivel de plomo en la sangre realizada entre el 16 de mayo de 2014 y el 31 de agosto de 2016; </w:t>
            </w:r>
            <w:r>
              <w:rPr>
                <w:b/>
                <w:sz w:val="24"/>
                <w:szCs w:val="24"/>
                <w:u w:val="single"/>
              </w:rPr>
              <w:t xml:space="preserve">o </w:t>
            </w:r>
            <w:r>
              <w:rPr>
                <w:sz w:val="24"/>
                <w:szCs w:val="24"/>
              </w:rPr>
              <w:t xml:space="preserve">un resultado de o entre 5.0 y 9.9 </w:t>
            </w:r>
            <w:proofErr w:type="spellStart"/>
            <w:r>
              <w:rPr>
                <w:sz w:val="24"/>
                <w:szCs w:val="24"/>
              </w:rPr>
              <w:t>ug</w:t>
            </w:r>
            <w:proofErr w:type="spellEnd"/>
            <w:r>
              <w:rPr>
                <w:sz w:val="24"/>
                <w:szCs w:val="24"/>
              </w:rPr>
              <w:t>/G en la prueba de cuantificación de plomo in vivo en los huesos de una persona realizada entre el 16 de mayo de 2014 y los 90 días posteriores a la fecha de la Orden de Aprobación Preliminar.</w:t>
            </w:r>
          </w:p>
          <w:p w14:paraId="32545A67" w14:textId="77777777" w:rsidR="00E54CE6" w:rsidRDefault="00E54CE6">
            <w:pPr>
              <w:rPr>
                <w:rFonts w:eastAsia="Calibri" w:cs="Times New Roman"/>
              </w:rPr>
            </w:pPr>
          </w:p>
          <w:p w14:paraId="138A5692" w14:textId="77777777" w:rsidR="00BE39BF" w:rsidRDefault="00BE39BF">
            <w:pPr>
              <w:rPr>
                <w:rFonts w:eastAsia="Calibri" w:cs="Times New Roman"/>
              </w:rPr>
            </w:pPr>
          </w:p>
          <w:p w14:paraId="71EB3200" w14:textId="691CDE55" w:rsidR="00BE39BF" w:rsidRPr="00E532F9" w:rsidRDefault="00BE39BF">
            <w:pPr>
              <w:rPr>
                <w:rFonts w:eastAsia="Calibri" w:cs="Times New Roman"/>
              </w:rPr>
            </w:pPr>
          </w:p>
        </w:tc>
        <w:tc>
          <w:tcPr>
            <w:tcW w:w="4317" w:type="dxa"/>
          </w:tcPr>
          <w:p w14:paraId="66EA21F5" w14:textId="77777777" w:rsidR="00E54CE6" w:rsidRPr="00E532F9" w:rsidRDefault="0016202A">
            <w:pPr>
              <w:jc w:val="center"/>
              <w:rPr>
                <w:rFonts w:eastAsia="Calibri" w:cs="Times New Roman"/>
                <w:b/>
                <w:color w:val="0070C0"/>
                <w:sz w:val="24"/>
                <w:szCs w:val="24"/>
              </w:rPr>
            </w:pPr>
            <w:r>
              <w:rPr>
                <w:b/>
                <w:color w:val="0D0D0D"/>
                <w:sz w:val="24"/>
                <w:szCs w:val="24"/>
                <w:u w:val="single"/>
              </w:rPr>
              <w:t>Prestaciones Pecuniarias</w:t>
            </w:r>
          </w:p>
          <w:p w14:paraId="3F25ACDD" w14:textId="77777777" w:rsidR="00E54CE6" w:rsidRPr="00E532F9" w:rsidRDefault="00E54CE6">
            <w:pPr>
              <w:jc w:val="center"/>
              <w:rPr>
                <w:rFonts w:eastAsia="Calibri" w:cs="Times New Roman"/>
                <w:b/>
                <w:color w:val="0070C0"/>
                <w:sz w:val="24"/>
                <w:szCs w:val="24"/>
              </w:rPr>
            </w:pPr>
          </w:p>
          <w:p w14:paraId="2365739A" w14:textId="77777777" w:rsidR="00E54CE6" w:rsidRPr="00E532F9" w:rsidRDefault="0016202A">
            <w:pPr>
              <w:jc w:val="center"/>
              <w:rPr>
                <w:rFonts w:eastAsia="Calibri" w:cs="Times New Roman"/>
                <w:b/>
                <w:color w:val="0070C0"/>
                <w:sz w:val="24"/>
                <w:szCs w:val="24"/>
              </w:rPr>
            </w:pPr>
            <w:r>
              <w:rPr>
                <w:b/>
                <w:color w:val="0070C0"/>
                <w:sz w:val="24"/>
                <w:szCs w:val="24"/>
              </w:rPr>
              <w:t>1.5y</w:t>
            </w:r>
          </w:p>
          <w:p w14:paraId="0610A235" w14:textId="77777777" w:rsidR="00E54CE6" w:rsidRPr="00E532F9" w:rsidRDefault="00E54CE6">
            <w:pPr>
              <w:rPr>
                <w:rFonts w:eastAsia="Calibri" w:cs="Times New Roman"/>
              </w:rPr>
            </w:pPr>
          </w:p>
        </w:tc>
        <w:tc>
          <w:tcPr>
            <w:tcW w:w="4317" w:type="dxa"/>
          </w:tcPr>
          <w:p w14:paraId="472B74C4" w14:textId="77777777" w:rsidR="00E54CE6" w:rsidRPr="00E532F9" w:rsidRDefault="0016202A">
            <w:pPr>
              <w:jc w:val="center"/>
              <w:rPr>
                <w:rFonts w:eastAsia="Calibri" w:cs="Times New Roman"/>
                <w:sz w:val="24"/>
                <w:szCs w:val="24"/>
                <w:u w:val="single"/>
              </w:rPr>
            </w:pPr>
            <w:r>
              <w:rPr>
                <w:b/>
                <w:color w:val="0D0D0D"/>
                <w:sz w:val="24"/>
                <w:szCs w:val="24"/>
                <w:u w:val="single"/>
              </w:rPr>
              <w:t>Pruebas Exigidas</w:t>
            </w:r>
          </w:p>
          <w:p w14:paraId="692B4ECE" w14:textId="77777777" w:rsidR="00E54CE6" w:rsidRPr="00E532F9" w:rsidRDefault="00E54CE6">
            <w:pPr>
              <w:jc w:val="both"/>
              <w:rPr>
                <w:rFonts w:eastAsia="Calibri" w:cs="Times New Roman"/>
                <w:sz w:val="24"/>
                <w:szCs w:val="24"/>
                <w:u w:val="single"/>
              </w:rPr>
            </w:pPr>
          </w:p>
          <w:p w14:paraId="3D7B193E" w14:textId="77777777" w:rsidR="00E54CE6" w:rsidRPr="00E532F9" w:rsidRDefault="0016202A">
            <w:pPr>
              <w:jc w:val="both"/>
              <w:rPr>
                <w:rFonts w:eastAsia="Calibri" w:cs="Times New Roman"/>
              </w:rPr>
            </w:pPr>
            <w:r>
              <w:rPr>
                <w:sz w:val="24"/>
                <w:szCs w:val="24"/>
                <w:u w:val="single"/>
              </w:rPr>
              <w:t>Pruebas en la sangre o en los huesos</w:t>
            </w:r>
            <w:r>
              <w:rPr>
                <w:sz w:val="24"/>
                <w:szCs w:val="24"/>
              </w:rPr>
              <w:t xml:space="preserve">: tal como se describe en las pruebas exigidas para la Categoría 1. </w:t>
            </w:r>
          </w:p>
        </w:tc>
      </w:tr>
      <w:tr w:rsidR="00E54CE6" w:rsidRPr="00E532F9" w14:paraId="6F12DCEA" w14:textId="77777777">
        <w:tc>
          <w:tcPr>
            <w:tcW w:w="12950" w:type="dxa"/>
            <w:gridSpan w:val="3"/>
            <w:shd w:val="clear" w:color="auto" w:fill="B4C6E7"/>
          </w:tcPr>
          <w:p w14:paraId="06241E4B" w14:textId="77777777" w:rsidR="00E54CE6" w:rsidRPr="00E532F9" w:rsidRDefault="00E54CE6">
            <w:pPr>
              <w:jc w:val="center"/>
              <w:rPr>
                <w:rFonts w:eastAsia="Calibri" w:cs="Times New Roman"/>
                <w:b/>
                <w:sz w:val="24"/>
                <w:szCs w:val="24"/>
                <w:u w:val="single"/>
              </w:rPr>
            </w:pPr>
          </w:p>
          <w:p w14:paraId="32AAD992" w14:textId="77777777" w:rsidR="00E54CE6" w:rsidRPr="00E532F9" w:rsidRDefault="0016202A">
            <w:pPr>
              <w:jc w:val="center"/>
              <w:rPr>
                <w:rFonts w:eastAsia="Calibri" w:cs="Times New Roman"/>
                <w:b/>
                <w:caps/>
                <w:sz w:val="24"/>
                <w:szCs w:val="24"/>
                <w:u w:val="single"/>
              </w:rPr>
            </w:pPr>
            <w:r>
              <w:rPr>
                <w:b/>
                <w:caps/>
                <w:sz w:val="24"/>
                <w:szCs w:val="24"/>
                <w:u w:val="single"/>
              </w:rPr>
              <w:t>Categoría 10</w:t>
            </w:r>
          </w:p>
          <w:p w14:paraId="5F6983F7" w14:textId="77777777" w:rsidR="00E54CE6" w:rsidRPr="00E532F9" w:rsidRDefault="0016202A">
            <w:pPr>
              <w:autoSpaceDE w:val="0"/>
              <w:autoSpaceDN w:val="0"/>
              <w:adjustRightInd w:val="0"/>
              <w:contextualSpacing/>
              <w:jc w:val="center"/>
              <w:rPr>
                <w:rFonts w:eastAsia="Calibri" w:cs="Times New Roman"/>
                <w:sz w:val="24"/>
                <w:szCs w:val="24"/>
              </w:rPr>
            </w:pPr>
            <w:r>
              <w:rPr>
                <w:sz w:val="24"/>
                <w:szCs w:val="24"/>
                <w:u w:val="single"/>
              </w:rPr>
              <w:t>Preadolescente, entre 7 y 11 años</w:t>
            </w:r>
            <w:r>
              <w:rPr>
                <w:sz w:val="24"/>
                <w:szCs w:val="24"/>
              </w:rPr>
              <w:t>, nivel de plomo o déficit cognitivo.</w:t>
            </w:r>
          </w:p>
          <w:p w14:paraId="6DF870F8" w14:textId="77777777" w:rsidR="00E54CE6" w:rsidRPr="00E532F9" w:rsidRDefault="00E54CE6">
            <w:pPr>
              <w:autoSpaceDE w:val="0"/>
              <w:autoSpaceDN w:val="0"/>
              <w:adjustRightInd w:val="0"/>
              <w:contextualSpacing/>
              <w:jc w:val="center"/>
              <w:rPr>
                <w:rFonts w:eastAsia="Calibri" w:cs="Times New Roman"/>
                <w:b/>
                <w:sz w:val="24"/>
                <w:szCs w:val="24"/>
                <w:u w:val="single"/>
              </w:rPr>
            </w:pPr>
          </w:p>
        </w:tc>
      </w:tr>
      <w:tr w:rsidR="00E54CE6" w:rsidRPr="00E532F9" w14:paraId="5890752B" w14:textId="77777777">
        <w:tc>
          <w:tcPr>
            <w:tcW w:w="4316" w:type="dxa"/>
          </w:tcPr>
          <w:p w14:paraId="41B202E8" w14:textId="77777777" w:rsidR="00E54CE6" w:rsidRPr="00E532F9" w:rsidRDefault="0016202A">
            <w:pPr>
              <w:jc w:val="center"/>
              <w:rPr>
                <w:rFonts w:eastAsia="Calibri" w:cs="Times New Roman"/>
                <w:b/>
                <w:sz w:val="24"/>
                <w:szCs w:val="24"/>
                <w:u w:val="single"/>
              </w:rPr>
            </w:pPr>
            <w:r>
              <w:rPr>
                <w:b/>
                <w:sz w:val="24"/>
                <w:szCs w:val="24"/>
                <w:u w:val="single"/>
              </w:rPr>
              <w:t>Descripción de la Categoría</w:t>
            </w:r>
          </w:p>
          <w:p w14:paraId="65264889" w14:textId="77777777" w:rsidR="00E54CE6" w:rsidRPr="00E532F9" w:rsidRDefault="00E54CE6">
            <w:pPr>
              <w:jc w:val="both"/>
              <w:rPr>
                <w:rFonts w:eastAsia="Calibri" w:cs="Times New Roman"/>
                <w:b/>
                <w:sz w:val="24"/>
                <w:szCs w:val="24"/>
                <w:u w:val="single"/>
              </w:rPr>
            </w:pPr>
          </w:p>
          <w:p w14:paraId="08B989D6" w14:textId="77777777" w:rsidR="00E54CE6" w:rsidRPr="00E532F9" w:rsidRDefault="0016202A">
            <w:pPr>
              <w:jc w:val="both"/>
              <w:rPr>
                <w:rFonts w:eastAsia="Calibri" w:cs="Times New Roman"/>
                <w:b/>
                <w:sz w:val="24"/>
                <w:szCs w:val="24"/>
                <w:u w:val="single"/>
              </w:rPr>
            </w:pPr>
            <w:r>
              <w:rPr>
                <w:b/>
                <w:sz w:val="24"/>
                <w:szCs w:val="24"/>
                <w:u w:val="single"/>
              </w:rPr>
              <w:t>Nivel de Plomo</w:t>
            </w:r>
          </w:p>
          <w:p w14:paraId="50E996F4" w14:textId="77777777" w:rsidR="00E54CE6" w:rsidRPr="00E532F9" w:rsidRDefault="0016202A">
            <w:pPr>
              <w:jc w:val="both"/>
              <w:rPr>
                <w:rFonts w:eastAsia="Calibri" w:cs="Times New Roman"/>
                <w:sz w:val="24"/>
                <w:szCs w:val="24"/>
              </w:rPr>
            </w:pPr>
            <w:r>
              <w:rPr>
                <w:sz w:val="24"/>
                <w:szCs w:val="24"/>
              </w:rPr>
              <w:t>Personas entre 7 y 11 años en el momento de la primera exposición quienes:</w:t>
            </w:r>
          </w:p>
          <w:p w14:paraId="2C510208" w14:textId="77777777" w:rsidR="00E54CE6" w:rsidRPr="00E532F9" w:rsidRDefault="00E54CE6">
            <w:pPr>
              <w:jc w:val="both"/>
              <w:rPr>
                <w:rFonts w:eastAsia="Calibri" w:cs="Times New Roman"/>
                <w:sz w:val="24"/>
                <w:szCs w:val="24"/>
              </w:rPr>
            </w:pPr>
          </w:p>
          <w:p w14:paraId="3AC7BC42" w14:textId="77777777" w:rsidR="00E54CE6" w:rsidRPr="00E532F9" w:rsidRDefault="0016202A">
            <w:pPr>
              <w:jc w:val="both"/>
              <w:rPr>
                <w:rFonts w:eastAsia="Calibri" w:cs="Times New Roman"/>
                <w:sz w:val="24"/>
                <w:szCs w:val="24"/>
              </w:rPr>
            </w:pPr>
            <w:r>
              <w:rPr>
                <w:sz w:val="24"/>
                <w:szCs w:val="24"/>
              </w:rPr>
              <w:t>(1) Por al menos 21 días durante cualquier período de 30 días entre el 25 de abril de 2014 y el 31 de julio de 2016;</w:t>
            </w:r>
          </w:p>
          <w:p w14:paraId="1B8DF12B" w14:textId="77777777" w:rsidR="00E54CE6" w:rsidRPr="00E532F9" w:rsidRDefault="00E54CE6">
            <w:pPr>
              <w:jc w:val="both"/>
              <w:rPr>
                <w:rFonts w:eastAsia="Calibri" w:cs="Times New Roman"/>
                <w:sz w:val="24"/>
                <w:szCs w:val="24"/>
              </w:rPr>
            </w:pPr>
          </w:p>
          <w:p w14:paraId="2F69B326" w14:textId="77777777" w:rsidR="00E54CE6" w:rsidRPr="00E532F9" w:rsidRDefault="0016202A">
            <w:pPr>
              <w:jc w:val="both"/>
              <w:rPr>
                <w:rFonts w:eastAsia="Calibri" w:cs="Times New Roman"/>
                <w:b/>
                <w:sz w:val="24"/>
                <w:szCs w:val="24"/>
                <w:u w:val="single"/>
              </w:rPr>
            </w:pPr>
            <w:r>
              <w:rPr>
                <w:sz w:val="24"/>
                <w:szCs w:val="24"/>
              </w:rPr>
              <w:t xml:space="preserve">(2) Residieron, habitaron o asistieron a escuelas o guarderías de Flint, o estuvieron expuestas de alguna forma al agua de Flint; </w:t>
            </w:r>
            <w:r>
              <w:rPr>
                <w:b/>
                <w:sz w:val="24"/>
                <w:szCs w:val="24"/>
                <w:u w:val="single"/>
              </w:rPr>
              <w:t>y</w:t>
            </w:r>
          </w:p>
          <w:p w14:paraId="050A78F2" w14:textId="77777777" w:rsidR="00E54CE6" w:rsidRPr="00E532F9" w:rsidRDefault="00E54CE6">
            <w:pPr>
              <w:jc w:val="both"/>
              <w:rPr>
                <w:rFonts w:eastAsia="Calibri" w:cs="Times New Roman"/>
                <w:sz w:val="24"/>
                <w:szCs w:val="24"/>
              </w:rPr>
            </w:pPr>
          </w:p>
          <w:p w14:paraId="7DCEA1F8" w14:textId="77777777" w:rsidR="00E54CE6" w:rsidRPr="00E532F9" w:rsidRDefault="0016202A">
            <w:pPr>
              <w:jc w:val="both"/>
              <w:rPr>
                <w:rFonts w:eastAsia="Calibri" w:cs="Times New Roman"/>
                <w:sz w:val="24"/>
                <w:szCs w:val="24"/>
              </w:rPr>
            </w:pPr>
            <w:r>
              <w:rPr>
                <w:sz w:val="24"/>
                <w:szCs w:val="24"/>
              </w:rPr>
              <w:t xml:space="preserve">(3) Obtuvieron un resultado de o entre 3.0 y 4.9 </w:t>
            </w:r>
            <w:proofErr w:type="spellStart"/>
            <w:r>
              <w:rPr>
                <w:sz w:val="24"/>
                <w:szCs w:val="24"/>
              </w:rPr>
              <w:t>mcg</w:t>
            </w:r>
            <w:proofErr w:type="spellEnd"/>
            <w:r>
              <w:rPr>
                <w:sz w:val="24"/>
                <w:szCs w:val="24"/>
              </w:rPr>
              <w:t>/</w:t>
            </w:r>
            <w:proofErr w:type="spellStart"/>
            <w:r>
              <w:rPr>
                <w:sz w:val="24"/>
                <w:szCs w:val="24"/>
              </w:rPr>
              <w:t>dL</w:t>
            </w:r>
            <w:proofErr w:type="spellEnd"/>
            <w:r>
              <w:rPr>
                <w:sz w:val="24"/>
                <w:szCs w:val="24"/>
              </w:rPr>
              <w:t xml:space="preserve"> en una prueba de nivel de plomo en la sangre realizada entre el 16 de mayo de 2014 y el 31 de agosto de 2016; </w:t>
            </w:r>
            <w:r>
              <w:rPr>
                <w:b/>
                <w:sz w:val="24"/>
                <w:szCs w:val="24"/>
                <w:u w:val="single"/>
              </w:rPr>
              <w:t xml:space="preserve">o </w:t>
            </w:r>
            <w:r>
              <w:rPr>
                <w:sz w:val="24"/>
                <w:szCs w:val="24"/>
              </w:rPr>
              <w:t xml:space="preserve">un resultado de o entre 3.0 y 4.9 </w:t>
            </w:r>
            <w:proofErr w:type="spellStart"/>
            <w:r>
              <w:rPr>
                <w:sz w:val="24"/>
                <w:szCs w:val="24"/>
              </w:rPr>
              <w:t>ug</w:t>
            </w:r>
            <w:proofErr w:type="spellEnd"/>
            <w:r>
              <w:rPr>
                <w:sz w:val="24"/>
                <w:szCs w:val="24"/>
              </w:rPr>
              <w:t>/G en la prueba de cuantificación de plomo in vivo en los huesos de una persona realizada entre el 16 de mayo de 2014 y los 90 días posteriores a la fecha de la Orden de Aprobación Preliminar.</w:t>
            </w:r>
          </w:p>
          <w:p w14:paraId="7B28A0ED" w14:textId="77777777" w:rsidR="00E54CE6" w:rsidRPr="00E532F9" w:rsidRDefault="00E54CE6">
            <w:pPr>
              <w:jc w:val="both"/>
              <w:rPr>
                <w:rFonts w:eastAsia="Calibri" w:cs="Times New Roman"/>
                <w:sz w:val="24"/>
                <w:szCs w:val="24"/>
              </w:rPr>
            </w:pPr>
          </w:p>
          <w:p w14:paraId="60B28B6C" w14:textId="77777777" w:rsidR="00E54CE6" w:rsidRPr="00E532F9" w:rsidRDefault="0016202A">
            <w:pPr>
              <w:jc w:val="both"/>
              <w:rPr>
                <w:rFonts w:eastAsia="Calibri" w:cs="Times New Roman"/>
                <w:sz w:val="24"/>
                <w:szCs w:val="24"/>
              </w:rPr>
            </w:pPr>
            <w:r>
              <w:rPr>
                <w:b/>
                <w:sz w:val="24"/>
                <w:szCs w:val="24"/>
                <w:u w:val="single"/>
              </w:rPr>
              <w:t>O</w:t>
            </w:r>
          </w:p>
          <w:p w14:paraId="3C9B9AA8" w14:textId="77777777" w:rsidR="00E54CE6" w:rsidRPr="00E532F9" w:rsidRDefault="00E54CE6">
            <w:pPr>
              <w:jc w:val="both"/>
              <w:rPr>
                <w:rFonts w:eastAsia="Calibri" w:cs="Times New Roman"/>
                <w:sz w:val="24"/>
                <w:szCs w:val="24"/>
              </w:rPr>
            </w:pPr>
          </w:p>
          <w:p w14:paraId="3888F281" w14:textId="77777777" w:rsidR="00E54CE6" w:rsidRPr="00E532F9" w:rsidRDefault="0016202A">
            <w:pPr>
              <w:jc w:val="both"/>
              <w:rPr>
                <w:rFonts w:eastAsia="Calibri" w:cs="Times New Roman"/>
                <w:b/>
                <w:sz w:val="24"/>
                <w:szCs w:val="24"/>
                <w:u w:val="single"/>
              </w:rPr>
            </w:pPr>
            <w:r>
              <w:rPr>
                <w:b/>
                <w:sz w:val="24"/>
                <w:szCs w:val="24"/>
                <w:u w:val="single"/>
              </w:rPr>
              <w:t>Déficit cognitivo:</w:t>
            </w:r>
          </w:p>
          <w:p w14:paraId="78CBFFAC" w14:textId="77777777" w:rsidR="00E54CE6" w:rsidRPr="00E532F9" w:rsidRDefault="0016202A">
            <w:pPr>
              <w:jc w:val="both"/>
              <w:rPr>
                <w:rFonts w:eastAsia="Calibri" w:cs="Times New Roman"/>
                <w:sz w:val="24"/>
                <w:szCs w:val="24"/>
              </w:rPr>
            </w:pPr>
            <w:r>
              <w:rPr>
                <w:sz w:val="24"/>
                <w:szCs w:val="24"/>
              </w:rPr>
              <w:lastRenderedPageBreak/>
              <w:t>Personas entre 7 y 11 años en el momento de la primera exposición quienes:</w:t>
            </w:r>
          </w:p>
          <w:p w14:paraId="451C6E42" w14:textId="77777777" w:rsidR="00E54CE6" w:rsidRPr="00E532F9" w:rsidRDefault="00E54CE6">
            <w:pPr>
              <w:jc w:val="both"/>
              <w:rPr>
                <w:rFonts w:eastAsia="Calibri" w:cs="Times New Roman"/>
                <w:sz w:val="24"/>
                <w:szCs w:val="24"/>
              </w:rPr>
            </w:pPr>
          </w:p>
          <w:p w14:paraId="6EBEAEB8" w14:textId="77777777" w:rsidR="00E54CE6" w:rsidRPr="00E532F9" w:rsidRDefault="0016202A">
            <w:pPr>
              <w:jc w:val="both"/>
              <w:rPr>
                <w:rFonts w:eastAsia="Calibri" w:cs="Times New Roman"/>
                <w:sz w:val="24"/>
                <w:szCs w:val="24"/>
              </w:rPr>
            </w:pPr>
            <w:r>
              <w:rPr>
                <w:sz w:val="24"/>
                <w:szCs w:val="24"/>
              </w:rPr>
              <w:t>(1) Por al menos 21 días durante cualquier período de 30 días entre el 25 de abril de 2014 y el 31 de julio de 2016;</w:t>
            </w:r>
          </w:p>
          <w:p w14:paraId="2441B365" w14:textId="77777777" w:rsidR="00E54CE6" w:rsidRPr="00E532F9" w:rsidRDefault="00E54CE6">
            <w:pPr>
              <w:jc w:val="both"/>
              <w:rPr>
                <w:rFonts w:eastAsia="Calibri" w:cs="Times New Roman"/>
                <w:sz w:val="24"/>
                <w:szCs w:val="24"/>
              </w:rPr>
            </w:pPr>
          </w:p>
          <w:p w14:paraId="078BE88F" w14:textId="77777777" w:rsidR="00E54CE6" w:rsidRPr="00E532F9" w:rsidRDefault="0016202A">
            <w:pPr>
              <w:jc w:val="both"/>
              <w:rPr>
                <w:rFonts w:eastAsia="Calibri" w:cs="Times New Roman"/>
                <w:b/>
                <w:sz w:val="24"/>
                <w:szCs w:val="24"/>
                <w:u w:val="single"/>
              </w:rPr>
            </w:pPr>
            <w:r>
              <w:rPr>
                <w:sz w:val="24"/>
                <w:szCs w:val="24"/>
              </w:rPr>
              <w:t xml:space="preserve">(2) Residieron, habitaron o asistieron a escuelas o guarderías de Flint, o estuvieron expuestas de alguna forma al agua de Flint; </w:t>
            </w:r>
            <w:r>
              <w:rPr>
                <w:b/>
                <w:sz w:val="24"/>
                <w:szCs w:val="24"/>
                <w:u w:val="single"/>
              </w:rPr>
              <w:t>y</w:t>
            </w:r>
          </w:p>
          <w:p w14:paraId="1D6578A3" w14:textId="77777777" w:rsidR="00E54CE6" w:rsidRPr="00E532F9" w:rsidRDefault="00E54CE6">
            <w:pPr>
              <w:jc w:val="both"/>
              <w:rPr>
                <w:rFonts w:eastAsia="Calibri" w:cs="Times New Roman"/>
                <w:sz w:val="24"/>
                <w:szCs w:val="24"/>
              </w:rPr>
            </w:pPr>
          </w:p>
          <w:p w14:paraId="58D1D204" w14:textId="77777777" w:rsidR="00E54CE6" w:rsidRPr="00E532F9" w:rsidRDefault="0016202A">
            <w:pPr>
              <w:rPr>
                <w:rFonts w:eastAsia="Calibri" w:cs="Times New Roman"/>
                <w:sz w:val="24"/>
                <w:szCs w:val="24"/>
              </w:rPr>
            </w:pPr>
            <w:r>
              <w:rPr>
                <w:sz w:val="24"/>
                <w:szCs w:val="24"/>
              </w:rPr>
              <w:t xml:space="preserve">(3) Cuentan con un informe que documenta la realización de una evaluación completa e individual con fecha posterior al 16 de mayo de 2014 a cargo de un equipo multidisciplinario de evaluación, el cual deberá incluir un pediatra y un neuropsicólogo certificados por las juntas médicas correspondientes. Dicho informe se sustenta en una batería de pruebas clínicas y científicamente validadas de evaluación neurocognitiva o neuropsicológica, incluida la Batería Automatizada de Pruebas Neuropsicológicas de Cambridge (“CANTAB”, por sus siglas en inglés), que determinan que la persona tiene una discapacidad cognitiva relacionada con el plomo, causada después del 16 de mayo de 2014 y que se define como: Discapacidad cognitiva manifestada durante el período de desarrollo de la </w:t>
            </w:r>
            <w:r>
              <w:rPr>
                <w:sz w:val="24"/>
                <w:szCs w:val="24"/>
              </w:rPr>
              <w:lastRenderedPageBreak/>
              <w:t>persona de 7 a 11 años, expuesta al agua de Flint durante dicho período, tal como se determina a través de las pruebas y la demostración de las siguientes características de comportamiento: Una (i) tasa de desarrollo de desviaciones estándar de 1.0 o más por debajo de la media, según se determine a través de una evaluación del dominio de funcionamiento intelectual o (</w:t>
            </w:r>
            <w:proofErr w:type="spellStart"/>
            <w:r>
              <w:rPr>
                <w:sz w:val="24"/>
                <w:szCs w:val="24"/>
              </w:rPr>
              <w:t>ii</w:t>
            </w:r>
            <w:proofErr w:type="spellEnd"/>
            <w:r>
              <w:rPr>
                <w:sz w:val="24"/>
                <w:szCs w:val="24"/>
              </w:rPr>
              <w:t>) puntuaciones aproximadamente dentro de los seis percentiles más bajos de una prueba estandarizada de lectura y aritmética (este requisito no se exigirá si la persona no tiene una edad, un grado o edad mental adecuados para la realización de pruebas formales o estandarizadas).  O bien, una demostración de cualquiera de las dos siguientes características de comportamiento: (</w:t>
            </w:r>
            <w:proofErr w:type="spellStart"/>
            <w:r>
              <w:rPr>
                <w:sz w:val="24"/>
                <w:szCs w:val="24"/>
              </w:rPr>
              <w:t>iii</w:t>
            </w:r>
            <w:proofErr w:type="spellEnd"/>
            <w:r>
              <w:rPr>
                <w:sz w:val="24"/>
                <w:szCs w:val="24"/>
              </w:rPr>
              <w:t>) falta de desarrollo normalmente aceptado principalmente en el dominio cognitivo; (</w:t>
            </w:r>
            <w:proofErr w:type="spellStart"/>
            <w:r>
              <w:rPr>
                <w:sz w:val="24"/>
                <w:szCs w:val="24"/>
              </w:rPr>
              <w:t>iv</w:t>
            </w:r>
            <w:proofErr w:type="spellEnd"/>
            <w:r>
              <w:rPr>
                <w:sz w:val="24"/>
                <w:szCs w:val="24"/>
              </w:rPr>
              <w:t xml:space="preserve">) discapacidad de la conducta adaptativa y (v) discapacidad que afecta negativamente el rendimiento académico de una persona. El informe que determina que la persona tiene una discapacidad cognitiva debe contar con la firma y verificación de un médico (PhD y/o M.D.) especialista calificado donde conste que dicho informe es fidedigno y exacto.  La Batería Automatizada de Pruebas Neuropsicológicas de Cambridge mencionada anteriormente deberá incluir </w:t>
            </w:r>
            <w:r>
              <w:rPr>
                <w:sz w:val="24"/>
                <w:szCs w:val="24"/>
              </w:rPr>
              <w:lastRenderedPageBreak/>
              <w:t xml:space="preserve">conclusiones cognitivas de la Prueba del Tiempo de Reacción (RTI), la Prueba del </w:t>
            </w:r>
            <w:proofErr w:type="spellStart"/>
            <w:r>
              <w:rPr>
                <w:i/>
                <w:iCs/>
                <w:sz w:val="24"/>
                <w:szCs w:val="24"/>
              </w:rPr>
              <w:t>Span</w:t>
            </w:r>
            <w:proofErr w:type="spellEnd"/>
            <w:r>
              <w:rPr>
                <w:sz w:val="24"/>
                <w:szCs w:val="24"/>
              </w:rPr>
              <w:t xml:space="preserve"> de Memoria Espacial (SSP), la Prueba </w:t>
            </w:r>
            <w:proofErr w:type="spellStart"/>
            <w:r>
              <w:rPr>
                <w:i/>
                <w:iCs/>
                <w:sz w:val="24"/>
                <w:szCs w:val="24"/>
              </w:rPr>
              <w:t>Stockings</w:t>
            </w:r>
            <w:proofErr w:type="spellEnd"/>
            <w:r>
              <w:rPr>
                <w:i/>
                <w:iCs/>
                <w:sz w:val="24"/>
                <w:szCs w:val="24"/>
              </w:rPr>
              <w:t xml:space="preserve"> of Cambridge</w:t>
            </w:r>
            <w:r>
              <w:rPr>
                <w:sz w:val="24"/>
                <w:szCs w:val="24"/>
              </w:rPr>
              <w:t xml:space="preserve"> (SOC) de resolución de problemas y la Prueba de Cambio Dimensional (IED) de control de la atención.  </w:t>
            </w:r>
          </w:p>
          <w:p w14:paraId="0472C444" w14:textId="77777777" w:rsidR="00E54CE6" w:rsidRPr="00E532F9" w:rsidRDefault="00E54CE6">
            <w:pPr>
              <w:rPr>
                <w:rFonts w:eastAsia="Calibri" w:cs="Times New Roman"/>
              </w:rPr>
            </w:pPr>
          </w:p>
        </w:tc>
        <w:tc>
          <w:tcPr>
            <w:tcW w:w="4317" w:type="dxa"/>
          </w:tcPr>
          <w:p w14:paraId="41E00BE4" w14:textId="77777777" w:rsidR="00E54CE6" w:rsidRPr="00E532F9" w:rsidRDefault="0016202A">
            <w:pPr>
              <w:jc w:val="center"/>
              <w:rPr>
                <w:rFonts w:eastAsia="Calibri" w:cs="Times New Roman"/>
                <w:b/>
                <w:color w:val="0070C0"/>
                <w:sz w:val="24"/>
                <w:szCs w:val="24"/>
              </w:rPr>
            </w:pPr>
            <w:r>
              <w:rPr>
                <w:b/>
                <w:color w:val="0D0D0D"/>
                <w:sz w:val="24"/>
                <w:szCs w:val="24"/>
                <w:u w:val="single"/>
              </w:rPr>
              <w:lastRenderedPageBreak/>
              <w:t>Prestaciones Pecuniarias</w:t>
            </w:r>
          </w:p>
          <w:p w14:paraId="4B350398" w14:textId="77777777" w:rsidR="00E54CE6" w:rsidRPr="00E532F9" w:rsidRDefault="00E54CE6">
            <w:pPr>
              <w:jc w:val="center"/>
              <w:rPr>
                <w:rFonts w:eastAsia="Calibri" w:cs="Times New Roman"/>
                <w:b/>
                <w:color w:val="0070C0"/>
                <w:sz w:val="24"/>
                <w:szCs w:val="24"/>
              </w:rPr>
            </w:pPr>
          </w:p>
          <w:p w14:paraId="4BD7A8EC" w14:textId="77777777" w:rsidR="00E54CE6" w:rsidRPr="00E532F9" w:rsidRDefault="0016202A">
            <w:pPr>
              <w:jc w:val="center"/>
              <w:rPr>
                <w:rFonts w:eastAsia="Calibri" w:cs="Times New Roman"/>
                <w:b/>
                <w:color w:val="0070C0"/>
                <w:sz w:val="24"/>
                <w:szCs w:val="24"/>
              </w:rPr>
            </w:pPr>
            <w:r>
              <w:rPr>
                <w:b/>
                <w:color w:val="0070C0"/>
                <w:sz w:val="24"/>
                <w:szCs w:val="24"/>
              </w:rPr>
              <w:t>y</w:t>
            </w:r>
          </w:p>
          <w:p w14:paraId="2B78433F" w14:textId="77777777" w:rsidR="00E54CE6" w:rsidRPr="00E532F9" w:rsidRDefault="00E54CE6">
            <w:pPr>
              <w:rPr>
                <w:rFonts w:eastAsia="Calibri" w:cs="Times New Roman"/>
              </w:rPr>
            </w:pPr>
          </w:p>
        </w:tc>
        <w:tc>
          <w:tcPr>
            <w:tcW w:w="4317" w:type="dxa"/>
          </w:tcPr>
          <w:p w14:paraId="3FB895BD" w14:textId="77777777" w:rsidR="00E54CE6" w:rsidRPr="00E532F9" w:rsidRDefault="0016202A">
            <w:pPr>
              <w:jc w:val="center"/>
              <w:rPr>
                <w:rFonts w:eastAsia="Calibri" w:cs="Times New Roman"/>
                <w:sz w:val="24"/>
                <w:szCs w:val="24"/>
                <w:u w:val="single"/>
              </w:rPr>
            </w:pPr>
            <w:r>
              <w:rPr>
                <w:b/>
                <w:color w:val="0D0D0D"/>
                <w:sz w:val="24"/>
                <w:szCs w:val="24"/>
                <w:u w:val="single"/>
              </w:rPr>
              <w:t>Pruebas Exigidas</w:t>
            </w:r>
          </w:p>
          <w:p w14:paraId="275542F0" w14:textId="77777777" w:rsidR="00E54CE6" w:rsidRPr="00E532F9" w:rsidRDefault="00E54CE6">
            <w:pPr>
              <w:jc w:val="both"/>
              <w:rPr>
                <w:rFonts w:eastAsia="Calibri" w:cs="Times New Roman"/>
                <w:sz w:val="24"/>
                <w:szCs w:val="24"/>
                <w:u w:val="single"/>
              </w:rPr>
            </w:pPr>
          </w:p>
          <w:p w14:paraId="0CF5AB69" w14:textId="77777777" w:rsidR="00E54CE6" w:rsidRPr="00E532F9" w:rsidRDefault="0016202A">
            <w:pPr>
              <w:jc w:val="both"/>
              <w:rPr>
                <w:rFonts w:eastAsia="Calibri" w:cs="Times New Roman"/>
                <w:sz w:val="24"/>
                <w:szCs w:val="24"/>
              </w:rPr>
            </w:pPr>
            <w:r>
              <w:rPr>
                <w:sz w:val="24"/>
                <w:szCs w:val="24"/>
                <w:u w:val="single"/>
              </w:rPr>
              <w:t>Pruebas en la sangre o en los huesos</w:t>
            </w:r>
            <w:r>
              <w:rPr>
                <w:sz w:val="24"/>
                <w:szCs w:val="24"/>
              </w:rPr>
              <w:t>: tal como se describe en las pruebas exigidas para la Categoría 1.</w:t>
            </w:r>
          </w:p>
          <w:p w14:paraId="47BD93CA" w14:textId="77777777" w:rsidR="00E54CE6" w:rsidRPr="00E532F9" w:rsidRDefault="00E54CE6">
            <w:pPr>
              <w:jc w:val="both"/>
              <w:rPr>
                <w:rFonts w:eastAsia="Calibri" w:cs="Times New Roman"/>
                <w:sz w:val="24"/>
                <w:szCs w:val="24"/>
              </w:rPr>
            </w:pPr>
          </w:p>
          <w:p w14:paraId="4EDB9282" w14:textId="77777777" w:rsidR="00E54CE6" w:rsidRPr="00E532F9" w:rsidRDefault="0016202A">
            <w:pPr>
              <w:jc w:val="both"/>
              <w:rPr>
                <w:rFonts w:eastAsia="Calibri" w:cs="Times New Roman"/>
              </w:rPr>
            </w:pPr>
            <w:r>
              <w:rPr>
                <w:sz w:val="24"/>
                <w:szCs w:val="24"/>
                <w:u w:val="single"/>
              </w:rPr>
              <w:t>Déficit cognitivo</w:t>
            </w:r>
            <w:r>
              <w:rPr>
                <w:sz w:val="24"/>
                <w:szCs w:val="24"/>
              </w:rPr>
              <w:t>: Informe exigido tal como se indica en la Descripción de la Categoría.</w:t>
            </w:r>
          </w:p>
        </w:tc>
      </w:tr>
      <w:tr w:rsidR="00E54CE6" w:rsidRPr="00E532F9" w14:paraId="3D398D25" w14:textId="77777777">
        <w:tc>
          <w:tcPr>
            <w:tcW w:w="12950" w:type="dxa"/>
            <w:gridSpan w:val="3"/>
            <w:shd w:val="clear" w:color="auto" w:fill="B4C6E7"/>
          </w:tcPr>
          <w:p w14:paraId="38EBDAB2" w14:textId="77777777" w:rsidR="00E54CE6" w:rsidRPr="00E532F9" w:rsidRDefault="00E54CE6">
            <w:pPr>
              <w:jc w:val="center"/>
              <w:rPr>
                <w:rFonts w:eastAsia="Calibri" w:cs="Times New Roman"/>
                <w:b/>
                <w:sz w:val="24"/>
                <w:szCs w:val="24"/>
                <w:u w:val="single"/>
              </w:rPr>
            </w:pPr>
          </w:p>
          <w:p w14:paraId="4B31C3F7" w14:textId="77777777" w:rsidR="00E54CE6" w:rsidRPr="00E532F9" w:rsidRDefault="0016202A">
            <w:pPr>
              <w:jc w:val="center"/>
              <w:rPr>
                <w:rFonts w:eastAsia="Calibri" w:cs="Times New Roman"/>
                <w:b/>
                <w:caps/>
                <w:sz w:val="24"/>
                <w:szCs w:val="24"/>
                <w:u w:val="single"/>
              </w:rPr>
            </w:pPr>
            <w:r>
              <w:rPr>
                <w:b/>
                <w:caps/>
                <w:sz w:val="24"/>
                <w:szCs w:val="24"/>
                <w:u w:val="single"/>
              </w:rPr>
              <w:t>Categoría 11</w:t>
            </w:r>
          </w:p>
          <w:p w14:paraId="4F37CABF" w14:textId="77777777" w:rsidR="00E54CE6" w:rsidRPr="00E532F9" w:rsidRDefault="0016202A">
            <w:pPr>
              <w:autoSpaceDE w:val="0"/>
              <w:autoSpaceDN w:val="0"/>
              <w:adjustRightInd w:val="0"/>
              <w:contextualSpacing/>
              <w:jc w:val="center"/>
              <w:rPr>
                <w:rFonts w:eastAsia="Calibri" w:cs="Times New Roman"/>
                <w:sz w:val="24"/>
                <w:szCs w:val="24"/>
                <w:u w:val="single"/>
              </w:rPr>
            </w:pPr>
            <w:r>
              <w:rPr>
                <w:sz w:val="24"/>
                <w:szCs w:val="24"/>
                <w:u w:val="single"/>
              </w:rPr>
              <w:t>Preadolescente, entre 7 y 11 años</w:t>
            </w:r>
            <w:r>
              <w:rPr>
                <w:sz w:val="24"/>
                <w:szCs w:val="24"/>
              </w:rPr>
              <w:t>, nivel de plomo.</w:t>
            </w:r>
          </w:p>
          <w:p w14:paraId="2A69F06F" w14:textId="77777777" w:rsidR="00E54CE6" w:rsidRPr="00E532F9" w:rsidRDefault="00E54CE6">
            <w:pPr>
              <w:autoSpaceDE w:val="0"/>
              <w:autoSpaceDN w:val="0"/>
              <w:adjustRightInd w:val="0"/>
              <w:contextualSpacing/>
              <w:rPr>
                <w:rFonts w:eastAsia="Calibri" w:cs="Times New Roman"/>
                <w:b/>
                <w:sz w:val="24"/>
                <w:szCs w:val="24"/>
                <w:u w:val="single"/>
              </w:rPr>
            </w:pPr>
          </w:p>
        </w:tc>
      </w:tr>
      <w:tr w:rsidR="00E54CE6" w:rsidRPr="00E532F9" w14:paraId="344B914F" w14:textId="77777777">
        <w:tc>
          <w:tcPr>
            <w:tcW w:w="4316" w:type="dxa"/>
          </w:tcPr>
          <w:p w14:paraId="63E88E78" w14:textId="77777777" w:rsidR="00E54CE6" w:rsidRPr="00E532F9" w:rsidRDefault="0016202A">
            <w:pPr>
              <w:jc w:val="center"/>
              <w:rPr>
                <w:rFonts w:eastAsia="Calibri" w:cs="Times New Roman"/>
                <w:b/>
                <w:sz w:val="24"/>
                <w:szCs w:val="24"/>
                <w:u w:val="single"/>
              </w:rPr>
            </w:pPr>
            <w:r>
              <w:rPr>
                <w:b/>
                <w:sz w:val="24"/>
                <w:szCs w:val="24"/>
                <w:u w:val="single"/>
              </w:rPr>
              <w:t>Descripción de la Categoría</w:t>
            </w:r>
          </w:p>
          <w:p w14:paraId="6BAE7D1D" w14:textId="77777777" w:rsidR="00E54CE6" w:rsidRPr="00E532F9" w:rsidRDefault="00E54CE6">
            <w:pPr>
              <w:jc w:val="both"/>
              <w:rPr>
                <w:rFonts w:eastAsia="Calibri" w:cs="Times New Roman"/>
                <w:b/>
                <w:sz w:val="24"/>
                <w:szCs w:val="24"/>
                <w:u w:val="single"/>
              </w:rPr>
            </w:pPr>
          </w:p>
          <w:p w14:paraId="2002B47A" w14:textId="77777777" w:rsidR="00E54CE6" w:rsidRPr="00E532F9" w:rsidRDefault="0016202A">
            <w:pPr>
              <w:jc w:val="both"/>
              <w:rPr>
                <w:rFonts w:eastAsia="Calibri" w:cs="Times New Roman"/>
                <w:b/>
                <w:sz w:val="24"/>
                <w:szCs w:val="24"/>
                <w:u w:val="single"/>
              </w:rPr>
            </w:pPr>
            <w:r>
              <w:rPr>
                <w:b/>
                <w:sz w:val="24"/>
                <w:szCs w:val="24"/>
                <w:u w:val="single"/>
              </w:rPr>
              <w:t>Nivel de Plomo</w:t>
            </w:r>
          </w:p>
          <w:p w14:paraId="22D27860" w14:textId="77777777" w:rsidR="00E54CE6" w:rsidRPr="00E532F9" w:rsidRDefault="0016202A">
            <w:pPr>
              <w:jc w:val="both"/>
              <w:rPr>
                <w:rFonts w:eastAsia="Calibri" w:cs="Times New Roman"/>
                <w:sz w:val="24"/>
                <w:szCs w:val="24"/>
              </w:rPr>
            </w:pPr>
            <w:r>
              <w:rPr>
                <w:iCs/>
                <w:sz w:val="24"/>
                <w:szCs w:val="24"/>
              </w:rPr>
              <w:t>Personas entre 7 y 11 años en el momento de la primera exposición quienes</w:t>
            </w:r>
            <w:r>
              <w:rPr>
                <w:sz w:val="24"/>
                <w:szCs w:val="24"/>
              </w:rPr>
              <w:t>:</w:t>
            </w:r>
          </w:p>
          <w:p w14:paraId="7F60BC5C" w14:textId="77777777" w:rsidR="00E54CE6" w:rsidRPr="00E532F9" w:rsidRDefault="00E54CE6">
            <w:pPr>
              <w:jc w:val="both"/>
              <w:rPr>
                <w:rFonts w:eastAsia="Calibri" w:cs="Times New Roman"/>
                <w:sz w:val="24"/>
                <w:szCs w:val="24"/>
              </w:rPr>
            </w:pPr>
          </w:p>
          <w:p w14:paraId="3D270C2F" w14:textId="77777777" w:rsidR="00E54CE6" w:rsidRPr="00E532F9" w:rsidRDefault="0016202A">
            <w:pPr>
              <w:jc w:val="both"/>
              <w:rPr>
                <w:rFonts w:eastAsia="Calibri" w:cs="Times New Roman"/>
                <w:sz w:val="24"/>
                <w:szCs w:val="24"/>
              </w:rPr>
            </w:pPr>
            <w:r>
              <w:rPr>
                <w:sz w:val="24"/>
                <w:szCs w:val="24"/>
              </w:rPr>
              <w:t>(1) Por al menos 21 días durante cualquier período de 30 días entre el 25 de abril de 2014 y el 31 de julio de 2016;</w:t>
            </w:r>
          </w:p>
          <w:p w14:paraId="1E0B3D2B" w14:textId="77777777" w:rsidR="00E54CE6" w:rsidRPr="00E532F9" w:rsidRDefault="00E54CE6">
            <w:pPr>
              <w:jc w:val="both"/>
              <w:rPr>
                <w:rFonts w:eastAsia="Calibri" w:cs="Times New Roman"/>
                <w:sz w:val="24"/>
                <w:szCs w:val="24"/>
              </w:rPr>
            </w:pPr>
          </w:p>
          <w:p w14:paraId="30366926" w14:textId="77777777" w:rsidR="00E54CE6" w:rsidRPr="00E532F9" w:rsidRDefault="0016202A">
            <w:pPr>
              <w:jc w:val="both"/>
              <w:rPr>
                <w:rFonts w:eastAsia="Calibri" w:cs="Times New Roman"/>
                <w:b/>
                <w:sz w:val="24"/>
                <w:szCs w:val="24"/>
                <w:u w:val="single"/>
              </w:rPr>
            </w:pPr>
            <w:r>
              <w:rPr>
                <w:sz w:val="24"/>
                <w:szCs w:val="24"/>
              </w:rPr>
              <w:t xml:space="preserve">(2) Residieron, habitaron o asistieron a escuelas o guarderías de Flint, o estuvieron expuestas de alguna forma al agua de Flint; </w:t>
            </w:r>
            <w:r>
              <w:rPr>
                <w:b/>
                <w:sz w:val="24"/>
                <w:szCs w:val="24"/>
                <w:u w:val="single"/>
              </w:rPr>
              <w:t>y</w:t>
            </w:r>
          </w:p>
          <w:p w14:paraId="326C9812" w14:textId="77777777" w:rsidR="00E54CE6" w:rsidRPr="00E532F9" w:rsidRDefault="00E54CE6">
            <w:pPr>
              <w:jc w:val="both"/>
              <w:rPr>
                <w:rFonts w:eastAsia="Calibri" w:cs="Times New Roman"/>
                <w:sz w:val="24"/>
                <w:szCs w:val="24"/>
              </w:rPr>
            </w:pPr>
          </w:p>
          <w:p w14:paraId="0B12A609" w14:textId="77777777" w:rsidR="00E54CE6" w:rsidRPr="00E532F9" w:rsidRDefault="0016202A">
            <w:pPr>
              <w:jc w:val="both"/>
              <w:rPr>
                <w:rFonts w:eastAsia="Calibri" w:cs="Times New Roman"/>
                <w:sz w:val="24"/>
                <w:szCs w:val="24"/>
              </w:rPr>
            </w:pPr>
            <w:r>
              <w:rPr>
                <w:sz w:val="24"/>
                <w:szCs w:val="24"/>
              </w:rPr>
              <w:t xml:space="preserve">(3) Obtuvieron un resultado de o entre 0.1 y 2.9 </w:t>
            </w:r>
            <w:proofErr w:type="spellStart"/>
            <w:r>
              <w:rPr>
                <w:sz w:val="24"/>
                <w:szCs w:val="24"/>
              </w:rPr>
              <w:t>mcg</w:t>
            </w:r>
            <w:proofErr w:type="spellEnd"/>
            <w:r>
              <w:rPr>
                <w:sz w:val="24"/>
                <w:szCs w:val="24"/>
              </w:rPr>
              <w:t>/</w:t>
            </w:r>
            <w:proofErr w:type="spellStart"/>
            <w:r>
              <w:rPr>
                <w:sz w:val="24"/>
                <w:szCs w:val="24"/>
              </w:rPr>
              <w:t>dL</w:t>
            </w:r>
            <w:proofErr w:type="spellEnd"/>
            <w:r>
              <w:rPr>
                <w:sz w:val="24"/>
                <w:szCs w:val="24"/>
              </w:rPr>
              <w:t xml:space="preserve"> en una prueba de nivel de plomo en la sangre realizada entre el 16 de mayo de 2014 y el 31 de agosto de 2016; </w:t>
            </w:r>
            <w:r>
              <w:rPr>
                <w:b/>
                <w:sz w:val="24"/>
                <w:szCs w:val="24"/>
                <w:u w:val="single"/>
              </w:rPr>
              <w:t xml:space="preserve">o </w:t>
            </w:r>
            <w:r>
              <w:rPr>
                <w:sz w:val="24"/>
                <w:szCs w:val="24"/>
              </w:rPr>
              <w:t xml:space="preserve">un resultado de o entre 0.1 y 2.9 </w:t>
            </w:r>
            <w:proofErr w:type="spellStart"/>
            <w:r>
              <w:rPr>
                <w:sz w:val="24"/>
                <w:szCs w:val="24"/>
              </w:rPr>
              <w:t>ug</w:t>
            </w:r>
            <w:proofErr w:type="spellEnd"/>
            <w:r>
              <w:rPr>
                <w:sz w:val="24"/>
                <w:szCs w:val="24"/>
              </w:rPr>
              <w:t xml:space="preserve">/G en la prueba de cuantificación de plomo in vivo </w:t>
            </w:r>
            <w:r>
              <w:rPr>
                <w:sz w:val="24"/>
                <w:szCs w:val="24"/>
              </w:rPr>
              <w:lastRenderedPageBreak/>
              <w:t>en los huesos de una persona realizada entre el 16 de mayo de 2014 y los 90 días posteriores a la fecha de la Orden de Aprobación Preliminar.</w:t>
            </w:r>
          </w:p>
          <w:p w14:paraId="65786349" w14:textId="77777777" w:rsidR="00E54CE6" w:rsidRPr="00E532F9" w:rsidRDefault="00E54CE6">
            <w:pPr>
              <w:jc w:val="both"/>
              <w:rPr>
                <w:rFonts w:eastAsia="Calibri" w:cs="Times New Roman"/>
              </w:rPr>
            </w:pPr>
          </w:p>
        </w:tc>
        <w:tc>
          <w:tcPr>
            <w:tcW w:w="4317" w:type="dxa"/>
          </w:tcPr>
          <w:p w14:paraId="5685D450" w14:textId="77777777" w:rsidR="00E54CE6" w:rsidRPr="00E532F9" w:rsidRDefault="0016202A">
            <w:pPr>
              <w:jc w:val="center"/>
              <w:rPr>
                <w:rFonts w:eastAsia="Calibri" w:cs="Times New Roman"/>
                <w:b/>
                <w:color w:val="0070C0"/>
                <w:sz w:val="24"/>
                <w:szCs w:val="24"/>
              </w:rPr>
            </w:pPr>
            <w:r>
              <w:rPr>
                <w:b/>
                <w:color w:val="0D0D0D"/>
                <w:sz w:val="24"/>
                <w:szCs w:val="24"/>
                <w:u w:val="single"/>
              </w:rPr>
              <w:lastRenderedPageBreak/>
              <w:t>Prestaciones Pecuniarias</w:t>
            </w:r>
          </w:p>
          <w:p w14:paraId="672EF75F" w14:textId="77777777" w:rsidR="00E54CE6" w:rsidRPr="00E532F9" w:rsidRDefault="00E54CE6">
            <w:pPr>
              <w:jc w:val="center"/>
              <w:rPr>
                <w:rFonts w:eastAsia="Calibri" w:cs="Times New Roman"/>
                <w:b/>
                <w:color w:val="0070C0"/>
                <w:sz w:val="24"/>
                <w:szCs w:val="24"/>
              </w:rPr>
            </w:pPr>
          </w:p>
          <w:p w14:paraId="0FD4F073" w14:textId="77777777" w:rsidR="00E54CE6" w:rsidRPr="00E532F9" w:rsidRDefault="0016202A">
            <w:pPr>
              <w:jc w:val="center"/>
              <w:rPr>
                <w:rFonts w:eastAsia="Calibri" w:cs="Times New Roman"/>
              </w:rPr>
            </w:pPr>
            <w:r>
              <w:rPr>
                <w:b/>
                <w:color w:val="0070C0"/>
                <w:sz w:val="24"/>
                <w:szCs w:val="24"/>
              </w:rPr>
              <w:t>0.5y</w:t>
            </w:r>
          </w:p>
        </w:tc>
        <w:tc>
          <w:tcPr>
            <w:tcW w:w="4317" w:type="dxa"/>
          </w:tcPr>
          <w:p w14:paraId="771925B2" w14:textId="77777777" w:rsidR="00E54CE6" w:rsidRPr="00E532F9" w:rsidRDefault="0016202A">
            <w:pPr>
              <w:jc w:val="center"/>
              <w:rPr>
                <w:rFonts w:eastAsia="Calibri" w:cs="Times New Roman"/>
                <w:sz w:val="24"/>
                <w:szCs w:val="24"/>
                <w:u w:val="single"/>
              </w:rPr>
            </w:pPr>
            <w:r>
              <w:rPr>
                <w:b/>
                <w:color w:val="0D0D0D"/>
                <w:sz w:val="24"/>
                <w:szCs w:val="24"/>
                <w:u w:val="single"/>
              </w:rPr>
              <w:t>Pruebas Exigidas</w:t>
            </w:r>
          </w:p>
          <w:p w14:paraId="1AC8072A" w14:textId="77777777" w:rsidR="00E54CE6" w:rsidRPr="00E532F9" w:rsidRDefault="00E54CE6">
            <w:pPr>
              <w:jc w:val="both"/>
              <w:rPr>
                <w:rFonts w:eastAsia="Calibri" w:cs="Times New Roman"/>
                <w:sz w:val="24"/>
                <w:szCs w:val="24"/>
                <w:u w:val="single"/>
              </w:rPr>
            </w:pPr>
          </w:p>
          <w:p w14:paraId="06C7A683" w14:textId="77777777" w:rsidR="00E54CE6" w:rsidRPr="00E532F9" w:rsidRDefault="0016202A">
            <w:pPr>
              <w:jc w:val="both"/>
              <w:rPr>
                <w:rFonts w:eastAsia="Calibri" w:cs="Times New Roman"/>
              </w:rPr>
            </w:pPr>
            <w:r>
              <w:rPr>
                <w:sz w:val="24"/>
                <w:szCs w:val="24"/>
                <w:u w:val="single"/>
              </w:rPr>
              <w:t>Pruebas en la sangre o en los huesos</w:t>
            </w:r>
            <w:r>
              <w:rPr>
                <w:sz w:val="24"/>
                <w:szCs w:val="24"/>
              </w:rPr>
              <w:t xml:space="preserve">: tal como se describe en las pruebas exigidas para la Categoría 1. </w:t>
            </w:r>
          </w:p>
        </w:tc>
      </w:tr>
      <w:tr w:rsidR="00E54CE6" w:rsidRPr="00E532F9" w14:paraId="730476EA" w14:textId="77777777">
        <w:tc>
          <w:tcPr>
            <w:tcW w:w="12950" w:type="dxa"/>
            <w:gridSpan w:val="3"/>
            <w:shd w:val="clear" w:color="auto" w:fill="B4C6E7"/>
          </w:tcPr>
          <w:p w14:paraId="5212537F" w14:textId="77777777" w:rsidR="00E54CE6" w:rsidRPr="00E532F9" w:rsidRDefault="00E54CE6">
            <w:pPr>
              <w:jc w:val="center"/>
              <w:rPr>
                <w:rFonts w:eastAsia="Calibri" w:cs="Times New Roman"/>
                <w:b/>
                <w:sz w:val="24"/>
                <w:szCs w:val="24"/>
                <w:u w:val="single"/>
              </w:rPr>
            </w:pPr>
          </w:p>
          <w:p w14:paraId="241A1A23" w14:textId="77777777" w:rsidR="00E54CE6" w:rsidRPr="00E532F9" w:rsidRDefault="0016202A">
            <w:pPr>
              <w:jc w:val="center"/>
              <w:rPr>
                <w:rFonts w:eastAsia="Calibri" w:cs="Times New Roman"/>
                <w:b/>
                <w:caps/>
                <w:sz w:val="24"/>
                <w:szCs w:val="24"/>
                <w:u w:val="single"/>
              </w:rPr>
            </w:pPr>
            <w:r>
              <w:rPr>
                <w:b/>
                <w:caps/>
                <w:sz w:val="24"/>
                <w:szCs w:val="24"/>
                <w:u w:val="single"/>
              </w:rPr>
              <w:t>Categoría 12</w:t>
            </w:r>
          </w:p>
          <w:p w14:paraId="186972E1" w14:textId="77777777" w:rsidR="00E54CE6" w:rsidRPr="00E532F9" w:rsidRDefault="0016202A">
            <w:pPr>
              <w:autoSpaceDE w:val="0"/>
              <w:autoSpaceDN w:val="0"/>
              <w:adjustRightInd w:val="0"/>
              <w:contextualSpacing/>
              <w:jc w:val="center"/>
              <w:rPr>
                <w:rFonts w:eastAsia="Calibri" w:cs="Times New Roman"/>
                <w:sz w:val="24"/>
                <w:szCs w:val="24"/>
              </w:rPr>
            </w:pPr>
            <w:r>
              <w:rPr>
                <w:sz w:val="24"/>
                <w:szCs w:val="24"/>
                <w:u w:val="single"/>
              </w:rPr>
              <w:t>Preadolescente, entre 7 y 11 años</w:t>
            </w:r>
            <w:r>
              <w:rPr>
                <w:sz w:val="24"/>
                <w:szCs w:val="24"/>
              </w:rPr>
              <w:t>, plomo en el agua residencial o tuberías de plomo/acero galvanizado.</w:t>
            </w:r>
          </w:p>
          <w:p w14:paraId="2068E421" w14:textId="77777777" w:rsidR="00E54CE6" w:rsidRPr="00E532F9" w:rsidRDefault="00E54CE6">
            <w:pPr>
              <w:autoSpaceDE w:val="0"/>
              <w:autoSpaceDN w:val="0"/>
              <w:adjustRightInd w:val="0"/>
              <w:contextualSpacing/>
              <w:jc w:val="center"/>
              <w:rPr>
                <w:rFonts w:eastAsia="Calibri" w:cs="Times New Roman"/>
                <w:b/>
                <w:sz w:val="24"/>
                <w:szCs w:val="24"/>
                <w:u w:val="single"/>
              </w:rPr>
            </w:pPr>
          </w:p>
        </w:tc>
      </w:tr>
      <w:tr w:rsidR="00E54CE6" w:rsidRPr="00E532F9" w14:paraId="1366AD65" w14:textId="77777777">
        <w:tc>
          <w:tcPr>
            <w:tcW w:w="4316" w:type="dxa"/>
          </w:tcPr>
          <w:p w14:paraId="0D52E04E" w14:textId="77777777" w:rsidR="00E54CE6" w:rsidRPr="00E532F9" w:rsidRDefault="0016202A">
            <w:pPr>
              <w:jc w:val="center"/>
              <w:rPr>
                <w:rFonts w:eastAsia="Calibri" w:cs="Times New Roman"/>
                <w:b/>
                <w:sz w:val="24"/>
                <w:szCs w:val="24"/>
                <w:u w:val="single"/>
              </w:rPr>
            </w:pPr>
            <w:r>
              <w:rPr>
                <w:b/>
                <w:sz w:val="24"/>
                <w:szCs w:val="24"/>
                <w:u w:val="single"/>
              </w:rPr>
              <w:t>Descripción de la Categoría</w:t>
            </w:r>
          </w:p>
          <w:p w14:paraId="3F73B606" w14:textId="77777777" w:rsidR="00E54CE6" w:rsidRPr="00E532F9" w:rsidRDefault="00E54CE6">
            <w:pPr>
              <w:jc w:val="both"/>
              <w:rPr>
                <w:rFonts w:eastAsia="Calibri" w:cs="Times New Roman"/>
                <w:b/>
                <w:sz w:val="24"/>
                <w:szCs w:val="24"/>
                <w:u w:val="single"/>
              </w:rPr>
            </w:pPr>
          </w:p>
          <w:p w14:paraId="551AEC08" w14:textId="77777777" w:rsidR="00E54CE6" w:rsidRPr="00E532F9" w:rsidRDefault="0016202A">
            <w:pPr>
              <w:jc w:val="both"/>
              <w:rPr>
                <w:rFonts w:eastAsia="Calibri" w:cs="Times New Roman"/>
                <w:b/>
                <w:sz w:val="24"/>
                <w:szCs w:val="24"/>
                <w:u w:val="single"/>
              </w:rPr>
            </w:pPr>
            <w:r>
              <w:rPr>
                <w:b/>
                <w:sz w:val="24"/>
                <w:szCs w:val="24"/>
                <w:u w:val="single"/>
              </w:rPr>
              <w:t xml:space="preserve">Residencia con un nivel de plomo en el agua de 15 </w:t>
            </w:r>
            <w:proofErr w:type="spellStart"/>
            <w:r>
              <w:rPr>
                <w:b/>
                <w:sz w:val="24"/>
                <w:szCs w:val="24"/>
                <w:u w:val="single"/>
              </w:rPr>
              <w:t>ppb</w:t>
            </w:r>
            <w:proofErr w:type="spellEnd"/>
            <w:r>
              <w:rPr>
                <w:b/>
                <w:sz w:val="24"/>
                <w:szCs w:val="24"/>
                <w:u w:val="single"/>
              </w:rPr>
              <w:t xml:space="preserve"> o superior</w:t>
            </w:r>
          </w:p>
          <w:p w14:paraId="04DDBF4F" w14:textId="77777777" w:rsidR="00E54CE6" w:rsidRPr="00E532F9" w:rsidRDefault="0016202A">
            <w:pPr>
              <w:jc w:val="both"/>
              <w:rPr>
                <w:rFonts w:eastAsia="Calibri" w:cs="Times New Roman"/>
                <w:sz w:val="24"/>
                <w:szCs w:val="24"/>
              </w:rPr>
            </w:pPr>
            <w:r>
              <w:rPr>
                <w:iCs/>
                <w:sz w:val="24"/>
                <w:szCs w:val="24"/>
              </w:rPr>
              <w:t>Personas entre 7 y 11 años en el momento de la primera exposición quienes</w:t>
            </w:r>
            <w:r>
              <w:rPr>
                <w:sz w:val="24"/>
                <w:szCs w:val="24"/>
              </w:rPr>
              <w:t>:</w:t>
            </w:r>
          </w:p>
          <w:p w14:paraId="4A00E95A" w14:textId="77777777" w:rsidR="00E54CE6" w:rsidRPr="00E532F9" w:rsidRDefault="00E54CE6">
            <w:pPr>
              <w:jc w:val="both"/>
              <w:rPr>
                <w:rFonts w:eastAsia="Calibri" w:cs="Times New Roman"/>
                <w:sz w:val="24"/>
                <w:szCs w:val="24"/>
              </w:rPr>
            </w:pPr>
          </w:p>
          <w:p w14:paraId="20050F9E" w14:textId="77777777" w:rsidR="00E54CE6" w:rsidRPr="00E532F9" w:rsidRDefault="0016202A">
            <w:pPr>
              <w:jc w:val="both"/>
              <w:rPr>
                <w:rFonts w:eastAsia="Calibri" w:cs="Times New Roman"/>
                <w:sz w:val="24"/>
                <w:szCs w:val="24"/>
              </w:rPr>
            </w:pPr>
            <w:r>
              <w:rPr>
                <w:sz w:val="24"/>
                <w:szCs w:val="24"/>
              </w:rPr>
              <w:t>(1) Por al menos 21 días durante cualquier período de 30 días entre el 25 de abril de 2014 y el 31 de julio de 2016;</w:t>
            </w:r>
          </w:p>
          <w:p w14:paraId="7D34E5C7" w14:textId="77777777" w:rsidR="00E54CE6" w:rsidRPr="00E532F9" w:rsidRDefault="00E54CE6">
            <w:pPr>
              <w:jc w:val="both"/>
              <w:rPr>
                <w:rFonts w:eastAsia="Calibri" w:cs="Times New Roman"/>
                <w:sz w:val="24"/>
                <w:szCs w:val="24"/>
              </w:rPr>
            </w:pPr>
          </w:p>
          <w:p w14:paraId="71600B23" w14:textId="77777777" w:rsidR="00E54CE6" w:rsidRPr="00E532F9" w:rsidRDefault="0016202A">
            <w:pPr>
              <w:jc w:val="both"/>
              <w:rPr>
                <w:rFonts w:eastAsia="Calibri" w:cs="Times New Roman"/>
                <w:b/>
                <w:sz w:val="24"/>
                <w:szCs w:val="24"/>
                <w:u w:val="single"/>
              </w:rPr>
            </w:pPr>
            <w:r>
              <w:rPr>
                <w:sz w:val="24"/>
                <w:szCs w:val="24"/>
              </w:rPr>
              <w:t xml:space="preserve">(2) Residieron o habitaron en una residencia de Flint; </w:t>
            </w:r>
            <w:r>
              <w:rPr>
                <w:b/>
                <w:sz w:val="24"/>
                <w:szCs w:val="24"/>
                <w:u w:val="single"/>
              </w:rPr>
              <w:t>y</w:t>
            </w:r>
          </w:p>
          <w:p w14:paraId="0C9823B2" w14:textId="77777777" w:rsidR="00E54CE6" w:rsidRPr="00E532F9" w:rsidRDefault="00E54CE6">
            <w:pPr>
              <w:jc w:val="both"/>
              <w:rPr>
                <w:rFonts w:eastAsia="Calibri" w:cs="Times New Roman"/>
                <w:sz w:val="24"/>
                <w:szCs w:val="24"/>
              </w:rPr>
            </w:pPr>
          </w:p>
          <w:p w14:paraId="439E1F62" w14:textId="77777777" w:rsidR="00E54CE6" w:rsidRPr="00E532F9" w:rsidRDefault="0016202A">
            <w:pPr>
              <w:jc w:val="both"/>
              <w:rPr>
                <w:rFonts w:eastAsia="Calibri" w:cs="Times New Roman"/>
                <w:sz w:val="24"/>
                <w:szCs w:val="24"/>
              </w:rPr>
            </w:pPr>
            <w:r>
              <w:rPr>
                <w:sz w:val="24"/>
                <w:szCs w:val="24"/>
              </w:rPr>
              <w:t xml:space="preserve">(3) Obtuvieron un resultado de 15 </w:t>
            </w:r>
            <w:proofErr w:type="spellStart"/>
            <w:r>
              <w:rPr>
                <w:sz w:val="24"/>
                <w:szCs w:val="24"/>
              </w:rPr>
              <w:t>ppb</w:t>
            </w:r>
            <w:proofErr w:type="spellEnd"/>
            <w:r>
              <w:rPr>
                <w:sz w:val="24"/>
                <w:szCs w:val="24"/>
              </w:rPr>
              <w:t xml:space="preserve"> o superior en una prueba de nivel de plomo en el agua realizada en esa residencia de Flint entre el 16 de mayo de 2014 y el 31 de agosto de 2016.</w:t>
            </w:r>
          </w:p>
          <w:p w14:paraId="2426C387" w14:textId="3D27E3E6" w:rsidR="00E54CE6" w:rsidRDefault="00E54CE6">
            <w:pPr>
              <w:rPr>
                <w:rFonts w:eastAsia="Calibri" w:cs="Times New Roman"/>
              </w:rPr>
            </w:pPr>
          </w:p>
          <w:p w14:paraId="3E5EC59F" w14:textId="54D04126" w:rsidR="00BE39BF" w:rsidRDefault="00BE39BF">
            <w:pPr>
              <w:rPr>
                <w:rFonts w:eastAsia="Calibri" w:cs="Times New Roman"/>
              </w:rPr>
            </w:pPr>
          </w:p>
          <w:p w14:paraId="54602738" w14:textId="07CD7613" w:rsidR="00BE39BF" w:rsidRDefault="00BE39BF">
            <w:pPr>
              <w:rPr>
                <w:rFonts w:eastAsia="Calibri" w:cs="Times New Roman"/>
              </w:rPr>
            </w:pPr>
          </w:p>
          <w:p w14:paraId="70376B80" w14:textId="77777777" w:rsidR="00BE39BF" w:rsidRPr="00E532F9" w:rsidRDefault="00BE39BF">
            <w:pPr>
              <w:rPr>
                <w:rFonts w:eastAsia="Calibri" w:cs="Times New Roman"/>
              </w:rPr>
            </w:pPr>
          </w:p>
          <w:p w14:paraId="7E27CC1C" w14:textId="77777777" w:rsidR="00E54CE6" w:rsidRPr="00E532F9" w:rsidRDefault="0016202A">
            <w:pPr>
              <w:autoSpaceDE w:val="0"/>
              <w:autoSpaceDN w:val="0"/>
              <w:adjustRightInd w:val="0"/>
              <w:jc w:val="both"/>
              <w:rPr>
                <w:rFonts w:eastAsia="Calibri" w:cs="Times New Roman"/>
                <w:b/>
                <w:sz w:val="24"/>
                <w:szCs w:val="24"/>
                <w:u w:val="single"/>
              </w:rPr>
            </w:pPr>
            <w:r>
              <w:rPr>
                <w:b/>
                <w:sz w:val="24"/>
                <w:szCs w:val="24"/>
                <w:u w:val="single"/>
              </w:rPr>
              <w:lastRenderedPageBreak/>
              <w:t>O</w:t>
            </w:r>
          </w:p>
          <w:p w14:paraId="57CE459B" w14:textId="77777777" w:rsidR="00E54CE6" w:rsidRPr="00E532F9" w:rsidRDefault="00E54CE6">
            <w:pPr>
              <w:autoSpaceDE w:val="0"/>
              <w:autoSpaceDN w:val="0"/>
              <w:adjustRightInd w:val="0"/>
              <w:jc w:val="both"/>
              <w:rPr>
                <w:rFonts w:eastAsia="Calibri" w:cs="Times New Roman"/>
                <w:sz w:val="24"/>
                <w:szCs w:val="24"/>
              </w:rPr>
            </w:pPr>
          </w:p>
          <w:p w14:paraId="1F5139D5" w14:textId="77777777" w:rsidR="00E54CE6" w:rsidRPr="00E532F9" w:rsidRDefault="0016202A">
            <w:pPr>
              <w:autoSpaceDE w:val="0"/>
              <w:autoSpaceDN w:val="0"/>
              <w:adjustRightInd w:val="0"/>
              <w:jc w:val="both"/>
              <w:rPr>
                <w:rFonts w:eastAsia="Calibri" w:cs="Times New Roman"/>
                <w:b/>
                <w:sz w:val="24"/>
                <w:szCs w:val="24"/>
                <w:u w:val="single"/>
              </w:rPr>
            </w:pPr>
            <w:r>
              <w:rPr>
                <w:b/>
                <w:sz w:val="24"/>
                <w:szCs w:val="24"/>
                <w:u w:val="single"/>
              </w:rPr>
              <w:t>Residencia con tuberías de plomo o acero galvanizado</w:t>
            </w:r>
          </w:p>
          <w:p w14:paraId="0A2450C9" w14:textId="77777777" w:rsidR="00E54CE6" w:rsidRPr="00E532F9" w:rsidRDefault="0016202A">
            <w:pPr>
              <w:jc w:val="both"/>
              <w:rPr>
                <w:rFonts w:eastAsia="Calibri" w:cs="Times New Roman"/>
                <w:sz w:val="24"/>
                <w:szCs w:val="24"/>
              </w:rPr>
            </w:pPr>
            <w:r>
              <w:rPr>
                <w:iCs/>
                <w:sz w:val="24"/>
                <w:szCs w:val="24"/>
              </w:rPr>
              <w:t>Personas entre 7 y 11 años en el momento de la primera exposición quienes</w:t>
            </w:r>
            <w:r>
              <w:rPr>
                <w:sz w:val="24"/>
                <w:szCs w:val="24"/>
              </w:rPr>
              <w:t>:</w:t>
            </w:r>
          </w:p>
          <w:p w14:paraId="2E3BEF89" w14:textId="77777777" w:rsidR="00E54CE6" w:rsidRPr="00E532F9" w:rsidRDefault="00E54CE6">
            <w:pPr>
              <w:jc w:val="both"/>
              <w:rPr>
                <w:rFonts w:eastAsia="Calibri" w:cs="Times New Roman"/>
                <w:sz w:val="24"/>
                <w:szCs w:val="24"/>
              </w:rPr>
            </w:pPr>
          </w:p>
          <w:p w14:paraId="4C611D4E" w14:textId="77777777" w:rsidR="00E54CE6" w:rsidRPr="00E532F9" w:rsidRDefault="0016202A">
            <w:pPr>
              <w:jc w:val="both"/>
              <w:rPr>
                <w:rFonts w:eastAsia="Calibri" w:cs="Times New Roman"/>
                <w:sz w:val="24"/>
                <w:szCs w:val="24"/>
              </w:rPr>
            </w:pPr>
            <w:r>
              <w:rPr>
                <w:sz w:val="24"/>
                <w:szCs w:val="24"/>
              </w:rPr>
              <w:t>(1) Por al menos 21 días durante cualquier período de 30 días entre el 25 de abril de 2014 y el 31 de julio de 2016;</w:t>
            </w:r>
          </w:p>
          <w:p w14:paraId="44AE1E90" w14:textId="77777777" w:rsidR="00E54CE6" w:rsidRPr="00E532F9" w:rsidRDefault="00E54CE6">
            <w:pPr>
              <w:jc w:val="both"/>
              <w:rPr>
                <w:rFonts w:eastAsia="Calibri" w:cs="Times New Roman"/>
                <w:sz w:val="24"/>
                <w:szCs w:val="24"/>
              </w:rPr>
            </w:pPr>
          </w:p>
          <w:p w14:paraId="66D7635C" w14:textId="77777777" w:rsidR="00E54CE6" w:rsidRPr="00E532F9" w:rsidRDefault="0016202A">
            <w:pPr>
              <w:jc w:val="both"/>
              <w:rPr>
                <w:rFonts w:eastAsia="Calibri" w:cs="Times New Roman"/>
                <w:b/>
                <w:sz w:val="24"/>
                <w:szCs w:val="24"/>
                <w:u w:val="single"/>
              </w:rPr>
            </w:pPr>
            <w:r>
              <w:rPr>
                <w:sz w:val="24"/>
                <w:szCs w:val="24"/>
              </w:rPr>
              <w:t xml:space="preserve">(2) Residieron o habitaron en una residencia de Flint; </w:t>
            </w:r>
            <w:r>
              <w:rPr>
                <w:b/>
                <w:sz w:val="24"/>
                <w:szCs w:val="24"/>
                <w:u w:val="single"/>
              </w:rPr>
              <w:t>y</w:t>
            </w:r>
          </w:p>
          <w:p w14:paraId="700BB396" w14:textId="77777777" w:rsidR="00E54CE6" w:rsidRPr="00E532F9" w:rsidRDefault="00E54CE6">
            <w:pPr>
              <w:jc w:val="both"/>
              <w:rPr>
                <w:rFonts w:eastAsia="Calibri" w:cs="Times New Roman"/>
                <w:sz w:val="24"/>
                <w:szCs w:val="24"/>
              </w:rPr>
            </w:pPr>
          </w:p>
          <w:p w14:paraId="0BF5624E" w14:textId="77777777" w:rsidR="00E54CE6" w:rsidRPr="00E532F9" w:rsidRDefault="0016202A">
            <w:pPr>
              <w:jc w:val="both"/>
              <w:rPr>
                <w:rFonts w:eastAsia="Calibri" w:cs="Times New Roman"/>
                <w:sz w:val="24"/>
                <w:szCs w:val="24"/>
              </w:rPr>
            </w:pPr>
            <w:r>
              <w:rPr>
                <w:sz w:val="24"/>
                <w:szCs w:val="24"/>
              </w:rPr>
              <w:t>(3) Esa residencia de Flint tenía tuberías de plomo o acero galvanizado.</w:t>
            </w:r>
          </w:p>
          <w:p w14:paraId="5FC8F186" w14:textId="77777777" w:rsidR="00E54CE6" w:rsidRPr="00E532F9" w:rsidRDefault="00E54CE6">
            <w:pPr>
              <w:rPr>
                <w:rFonts w:eastAsia="Calibri" w:cs="Times New Roman"/>
              </w:rPr>
            </w:pPr>
          </w:p>
        </w:tc>
        <w:tc>
          <w:tcPr>
            <w:tcW w:w="4317" w:type="dxa"/>
          </w:tcPr>
          <w:p w14:paraId="3AE67B72" w14:textId="77777777" w:rsidR="00E54CE6" w:rsidRPr="00E532F9" w:rsidRDefault="0016202A">
            <w:pPr>
              <w:jc w:val="center"/>
              <w:rPr>
                <w:rFonts w:eastAsia="Calibri" w:cs="Times New Roman"/>
                <w:b/>
                <w:color w:val="0070C0"/>
                <w:sz w:val="24"/>
                <w:szCs w:val="24"/>
              </w:rPr>
            </w:pPr>
            <w:r>
              <w:rPr>
                <w:b/>
                <w:color w:val="0D0D0D"/>
                <w:sz w:val="24"/>
                <w:szCs w:val="24"/>
                <w:u w:val="single"/>
              </w:rPr>
              <w:lastRenderedPageBreak/>
              <w:t>Prestaciones Pecuniarias</w:t>
            </w:r>
          </w:p>
          <w:p w14:paraId="371A8F1E" w14:textId="77777777" w:rsidR="00E54CE6" w:rsidRPr="00E532F9" w:rsidRDefault="00E54CE6">
            <w:pPr>
              <w:jc w:val="center"/>
              <w:rPr>
                <w:rFonts w:eastAsia="Calibri" w:cs="Times New Roman"/>
                <w:b/>
                <w:color w:val="0070C0"/>
                <w:sz w:val="24"/>
                <w:szCs w:val="24"/>
              </w:rPr>
            </w:pPr>
          </w:p>
          <w:p w14:paraId="10F14F6A" w14:textId="77777777" w:rsidR="00E54CE6" w:rsidRPr="00E532F9" w:rsidRDefault="0016202A">
            <w:pPr>
              <w:jc w:val="center"/>
              <w:rPr>
                <w:rFonts w:eastAsia="Calibri" w:cs="Times New Roman"/>
                <w:b/>
                <w:color w:val="0070C0"/>
                <w:sz w:val="24"/>
                <w:szCs w:val="24"/>
              </w:rPr>
            </w:pPr>
            <w:r>
              <w:rPr>
                <w:b/>
                <w:color w:val="0070C0"/>
                <w:sz w:val="24"/>
                <w:szCs w:val="24"/>
              </w:rPr>
              <w:t>0.2y</w:t>
            </w:r>
          </w:p>
          <w:p w14:paraId="14803CFF" w14:textId="77777777" w:rsidR="00E54CE6" w:rsidRPr="00E532F9" w:rsidRDefault="00E54CE6">
            <w:pPr>
              <w:rPr>
                <w:rFonts w:eastAsia="Calibri" w:cs="Times New Roman"/>
              </w:rPr>
            </w:pPr>
          </w:p>
        </w:tc>
        <w:tc>
          <w:tcPr>
            <w:tcW w:w="4317" w:type="dxa"/>
          </w:tcPr>
          <w:p w14:paraId="16B0D1EA" w14:textId="77777777" w:rsidR="00E54CE6" w:rsidRPr="00E532F9" w:rsidRDefault="0016202A">
            <w:pPr>
              <w:jc w:val="center"/>
              <w:rPr>
                <w:rFonts w:eastAsia="Calibri" w:cs="Times New Roman"/>
                <w:sz w:val="24"/>
                <w:szCs w:val="24"/>
                <w:u w:val="single"/>
              </w:rPr>
            </w:pPr>
            <w:r>
              <w:rPr>
                <w:b/>
                <w:color w:val="0D0D0D"/>
                <w:sz w:val="24"/>
                <w:szCs w:val="24"/>
                <w:u w:val="single"/>
              </w:rPr>
              <w:t>Pruebas Exigidas</w:t>
            </w:r>
          </w:p>
          <w:p w14:paraId="1871B83B" w14:textId="77777777" w:rsidR="00E54CE6" w:rsidRPr="00E532F9" w:rsidRDefault="00E54CE6">
            <w:pPr>
              <w:jc w:val="both"/>
              <w:rPr>
                <w:rFonts w:eastAsia="Calibri" w:cs="Times New Roman"/>
                <w:sz w:val="24"/>
                <w:szCs w:val="24"/>
                <w:u w:val="single"/>
              </w:rPr>
            </w:pPr>
          </w:p>
          <w:p w14:paraId="5DB56814" w14:textId="77777777" w:rsidR="00E54CE6" w:rsidRPr="00E532F9" w:rsidRDefault="0016202A">
            <w:pPr>
              <w:jc w:val="both"/>
              <w:rPr>
                <w:rFonts w:eastAsia="Calibri" w:cs="Times New Roman"/>
              </w:rPr>
            </w:pPr>
            <w:r>
              <w:rPr>
                <w:sz w:val="24"/>
                <w:szCs w:val="24"/>
                <w:u w:val="single"/>
              </w:rPr>
              <w:t>Nivel de plomo en el agua y tuberías de plomo o acero galvanizado</w:t>
            </w:r>
            <w:r>
              <w:rPr>
                <w:sz w:val="24"/>
                <w:szCs w:val="24"/>
              </w:rPr>
              <w:t xml:space="preserve">: tal como se describe en las pruebas exigidas para la Categoría 5. </w:t>
            </w:r>
          </w:p>
        </w:tc>
      </w:tr>
      <w:tr w:rsidR="00E54CE6" w:rsidRPr="00E532F9" w14:paraId="6E8BCBA8" w14:textId="77777777">
        <w:tc>
          <w:tcPr>
            <w:tcW w:w="12950" w:type="dxa"/>
            <w:gridSpan w:val="3"/>
            <w:shd w:val="clear" w:color="auto" w:fill="B4C6E7"/>
          </w:tcPr>
          <w:p w14:paraId="6516C545" w14:textId="77777777" w:rsidR="00E54CE6" w:rsidRPr="00E532F9" w:rsidRDefault="00E54CE6">
            <w:pPr>
              <w:jc w:val="center"/>
              <w:rPr>
                <w:rFonts w:eastAsia="Calibri" w:cs="Times New Roman"/>
                <w:b/>
                <w:sz w:val="24"/>
                <w:szCs w:val="24"/>
                <w:u w:val="single"/>
              </w:rPr>
            </w:pPr>
          </w:p>
          <w:p w14:paraId="359AD025" w14:textId="77777777" w:rsidR="00E54CE6" w:rsidRPr="00E532F9" w:rsidRDefault="0016202A">
            <w:pPr>
              <w:jc w:val="center"/>
              <w:rPr>
                <w:rFonts w:eastAsia="Calibri" w:cs="Times New Roman"/>
                <w:b/>
                <w:caps/>
                <w:sz w:val="24"/>
                <w:szCs w:val="24"/>
                <w:u w:val="single"/>
              </w:rPr>
            </w:pPr>
            <w:r>
              <w:rPr>
                <w:b/>
                <w:caps/>
                <w:sz w:val="24"/>
                <w:szCs w:val="24"/>
                <w:u w:val="single"/>
              </w:rPr>
              <w:t>Categoría 13</w:t>
            </w:r>
          </w:p>
          <w:p w14:paraId="0F2FDA62" w14:textId="77777777" w:rsidR="00E54CE6" w:rsidRPr="00E532F9" w:rsidRDefault="0016202A">
            <w:pPr>
              <w:autoSpaceDE w:val="0"/>
              <w:autoSpaceDN w:val="0"/>
              <w:adjustRightInd w:val="0"/>
              <w:contextualSpacing/>
              <w:jc w:val="center"/>
              <w:rPr>
                <w:rFonts w:eastAsia="Calibri" w:cs="Times New Roman"/>
                <w:b/>
                <w:sz w:val="24"/>
                <w:szCs w:val="24"/>
                <w:u w:val="single"/>
              </w:rPr>
            </w:pPr>
            <w:r>
              <w:rPr>
                <w:sz w:val="24"/>
                <w:szCs w:val="24"/>
                <w:u w:val="single"/>
              </w:rPr>
              <w:t>Preadolescente, entre 7 y 11 años</w:t>
            </w:r>
            <w:r>
              <w:rPr>
                <w:sz w:val="24"/>
                <w:szCs w:val="24"/>
              </w:rPr>
              <w:t>, sin nivel de plomo en la sangre o en los huesos.</w:t>
            </w:r>
          </w:p>
          <w:p w14:paraId="39D9AB42" w14:textId="77777777" w:rsidR="00E54CE6" w:rsidRPr="00E532F9" w:rsidRDefault="00E54CE6">
            <w:pPr>
              <w:autoSpaceDE w:val="0"/>
              <w:autoSpaceDN w:val="0"/>
              <w:adjustRightInd w:val="0"/>
              <w:contextualSpacing/>
              <w:jc w:val="center"/>
              <w:rPr>
                <w:rFonts w:eastAsia="Calibri" w:cs="Times New Roman"/>
                <w:b/>
                <w:sz w:val="24"/>
                <w:szCs w:val="24"/>
                <w:u w:val="single"/>
              </w:rPr>
            </w:pPr>
          </w:p>
        </w:tc>
      </w:tr>
      <w:tr w:rsidR="00E54CE6" w:rsidRPr="00E532F9" w14:paraId="470DD65B" w14:textId="77777777">
        <w:tc>
          <w:tcPr>
            <w:tcW w:w="4316" w:type="dxa"/>
          </w:tcPr>
          <w:p w14:paraId="0410CD38" w14:textId="77777777" w:rsidR="00E54CE6" w:rsidRPr="00E532F9" w:rsidRDefault="0016202A">
            <w:pPr>
              <w:jc w:val="center"/>
              <w:rPr>
                <w:rFonts w:eastAsia="Calibri" w:cs="Times New Roman"/>
                <w:b/>
                <w:sz w:val="24"/>
                <w:szCs w:val="24"/>
                <w:u w:val="single"/>
              </w:rPr>
            </w:pPr>
            <w:r>
              <w:rPr>
                <w:b/>
                <w:sz w:val="24"/>
                <w:szCs w:val="24"/>
                <w:u w:val="single"/>
              </w:rPr>
              <w:t>Descripción de la Categoría</w:t>
            </w:r>
          </w:p>
          <w:p w14:paraId="139D8116" w14:textId="77777777" w:rsidR="00E54CE6" w:rsidRPr="00E532F9" w:rsidRDefault="00E54CE6">
            <w:pPr>
              <w:jc w:val="both"/>
              <w:rPr>
                <w:rFonts w:eastAsia="Calibri" w:cs="Times New Roman"/>
                <w:b/>
                <w:sz w:val="24"/>
                <w:szCs w:val="24"/>
                <w:u w:val="single"/>
              </w:rPr>
            </w:pPr>
          </w:p>
          <w:p w14:paraId="1C6DF51F" w14:textId="77777777" w:rsidR="00E54CE6" w:rsidRPr="00E532F9" w:rsidRDefault="0016202A">
            <w:pPr>
              <w:jc w:val="both"/>
              <w:rPr>
                <w:rFonts w:eastAsia="Calibri" w:cs="Times New Roman"/>
                <w:b/>
                <w:sz w:val="24"/>
                <w:szCs w:val="24"/>
                <w:u w:val="single"/>
              </w:rPr>
            </w:pPr>
            <w:r>
              <w:rPr>
                <w:b/>
                <w:sz w:val="24"/>
                <w:szCs w:val="24"/>
                <w:u w:val="single"/>
              </w:rPr>
              <w:t>Sin Nivel de Plomo en la Sangre o en los Huesos</w:t>
            </w:r>
          </w:p>
          <w:p w14:paraId="41616EB8" w14:textId="77777777" w:rsidR="00E54CE6" w:rsidRPr="00E532F9" w:rsidRDefault="0016202A">
            <w:pPr>
              <w:jc w:val="both"/>
              <w:rPr>
                <w:rFonts w:eastAsia="Calibri" w:cs="Times New Roman"/>
                <w:sz w:val="24"/>
                <w:szCs w:val="24"/>
              </w:rPr>
            </w:pPr>
            <w:r>
              <w:rPr>
                <w:iCs/>
                <w:sz w:val="24"/>
                <w:szCs w:val="24"/>
              </w:rPr>
              <w:t>Personas entre 7 y 11 años en el momento de la primera exposición quienes</w:t>
            </w:r>
            <w:r>
              <w:rPr>
                <w:sz w:val="24"/>
                <w:szCs w:val="24"/>
              </w:rPr>
              <w:t>:</w:t>
            </w:r>
          </w:p>
          <w:p w14:paraId="51E1551F" w14:textId="77777777" w:rsidR="00E54CE6" w:rsidRPr="00E532F9" w:rsidRDefault="00E54CE6">
            <w:pPr>
              <w:jc w:val="both"/>
              <w:rPr>
                <w:rFonts w:eastAsia="Calibri" w:cs="Times New Roman"/>
                <w:sz w:val="24"/>
                <w:szCs w:val="24"/>
              </w:rPr>
            </w:pPr>
          </w:p>
          <w:p w14:paraId="4C8B5CA7" w14:textId="77777777" w:rsidR="00E54CE6" w:rsidRPr="00E532F9" w:rsidRDefault="0016202A">
            <w:pPr>
              <w:jc w:val="both"/>
              <w:rPr>
                <w:rFonts w:eastAsia="Calibri" w:cs="Times New Roman"/>
                <w:sz w:val="24"/>
                <w:szCs w:val="24"/>
              </w:rPr>
            </w:pPr>
            <w:r>
              <w:rPr>
                <w:sz w:val="24"/>
                <w:szCs w:val="24"/>
              </w:rPr>
              <w:t>(1) Por al menos 21 días durante cualquier período de 30 días entre el 25 de abril de 2014 y el 31 de julio de 2016;</w:t>
            </w:r>
          </w:p>
          <w:p w14:paraId="196E5D12" w14:textId="77777777" w:rsidR="00E54CE6" w:rsidRPr="00E532F9" w:rsidRDefault="00E54CE6">
            <w:pPr>
              <w:jc w:val="both"/>
              <w:rPr>
                <w:rFonts w:eastAsia="Calibri" w:cs="Times New Roman"/>
                <w:sz w:val="24"/>
                <w:szCs w:val="24"/>
              </w:rPr>
            </w:pPr>
          </w:p>
          <w:p w14:paraId="39F52C51" w14:textId="77777777" w:rsidR="00E54CE6" w:rsidRPr="00E532F9" w:rsidRDefault="0016202A">
            <w:pPr>
              <w:jc w:val="both"/>
              <w:rPr>
                <w:rFonts w:eastAsia="Calibri" w:cs="Times New Roman"/>
                <w:b/>
                <w:sz w:val="24"/>
                <w:szCs w:val="24"/>
                <w:u w:val="single"/>
              </w:rPr>
            </w:pPr>
            <w:r>
              <w:rPr>
                <w:sz w:val="24"/>
                <w:szCs w:val="24"/>
              </w:rPr>
              <w:lastRenderedPageBreak/>
              <w:t xml:space="preserve">(2) Residieron, habitaron o asistieron a escuelas o guarderías de Flint, o estuvieron expuestas de alguna forma al agua de Flint; </w:t>
            </w:r>
            <w:r>
              <w:rPr>
                <w:b/>
                <w:sz w:val="24"/>
                <w:szCs w:val="24"/>
                <w:u w:val="single"/>
              </w:rPr>
              <w:t>y</w:t>
            </w:r>
          </w:p>
          <w:p w14:paraId="0DB202C9" w14:textId="77777777" w:rsidR="00E54CE6" w:rsidRPr="00E532F9" w:rsidRDefault="00E54CE6">
            <w:pPr>
              <w:jc w:val="both"/>
              <w:rPr>
                <w:rFonts w:eastAsia="Calibri" w:cs="Times New Roman"/>
                <w:sz w:val="24"/>
                <w:szCs w:val="24"/>
              </w:rPr>
            </w:pPr>
          </w:p>
          <w:p w14:paraId="012186F4" w14:textId="77777777" w:rsidR="00E54CE6" w:rsidRPr="00E532F9" w:rsidRDefault="0016202A">
            <w:pPr>
              <w:jc w:val="both"/>
              <w:rPr>
                <w:rFonts w:eastAsia="Calibri" w:cs="Times New Roman"/>
                <w:b/>
                <w:sz w:val="24"/>
                <w:szCs w:val="24"/>
                <w:u w:val="single"/>
              </w:rPr>
            </w:pPr>
            <w:r>
              <w:rPr>
                <w:sz w:val="24"/>
                <w:szCs w:val="24"/>
              </w:rPr>
              <w:t>(3) No tienen pruebas del nivel de plomo en la sangre o en los huesos.</w:t>
            </w:r>
          </w:p>
          <w:p w14:paraId="7E42FF60" w14:textId="77777777" w:rsidR="00E54CE6" w:rsidRPr="00E532F9" w:rsidRDefault="00E54CE6">
            <w:pPr>
              <w:jc w:val="both"/>
              <w:rPr>
                <w:rFonts w:eastAsia="Calibri" w:cs="Times New Roman"/>
              </w:rPr>
            </w:pPr>
          </w:p>
        </w:tc>
        <w:tc>
          <w:tcPr>
            <w:tcW w:w="4317" w:type="dxa"/>
          </w:tcPr>
          <w:p w14:paraId="6B4C03AE" w14:textId="77777777" w:rsidR="00E54CE6" w:rsidRPr="00E532F9" w:rsidRDefault="0016202A">
            <w:pPr>
              <w:jc w:val="center"/>
              <w:rPr>
                <w:rFonts w:eastAsia="Calibri" w:cs="Times New Roman"/>
                <w:b/>
                <w:color w:val="0070C0"/>
                <w:sz w:val="24"/>
                <w:szCs w:val="24"/>
              </w:rPr>
            </w:pPr>
            <w:r>
              <w:rPr>
                <w:b/>
                <w:color w:val="0D0D0D"/>
                <w:sz w:val="24"/>
                <w:szCs w:val="24"/>
                <w:u w:val="single"/>
              </w:rPr>
              <w:lastRenderedPageBreak/>
              <w:t>Prestaciones Pecuniarias</w:t>
            </w:r>
          </w:p>
          <w:p w14:paraId="5E360EB0" w14:textId="77777777" w:rsidR="00E54CE6" w:rsidRPr="00E532F9" w:rsidRDefault="00E54CE6">
            <w:pPr>
              <w:jc w:val="center"/>
              <w:rPr>
                <w:rFonts w:eastAsia="Calibri" w:cs="Times New Roman"/>
                <w:b/>
                <w:color w:val="0070C0"/>
                <w:sz w:val="24"/>
                <w:szCs w:val="24"/>
              </w:rPr>
            </w:pPr>
          </w:p>
          <w:p w14:paraId="5ADE661B" w14:textId="77777777" w:rsidR="00E54CE6" w:rsidRPr="00E532F9" w:rsidRDefault="0016202A">
            <w:pPr>
              <w:jc w:val="center"/>
              <w:rPr>
                <w:rFonts w:eastAsia="Calibri" w:cs="Times New Roman"/>
                <w:b/>
                <w:color w:val="0070C0"/>
                <w:sz w:val="24"/>
                <w:szCs w:val="24"/>
              </w:rPr>
            </w:pPr>
            <w:r>
              <w:rPr>
                <w:b/>
                <w:color w:val="0070C0"/>
                <w:sz w:val="24"/>
                <w:szCs w:val="24"/>
              </w:rPr>
              <w:t>0.15y</w:t>
            </w:r>
          </w:p>
          <w:p w14:paraId="20FFF06E" w14:textId="77777777" w:rsidR="00E54CE6" w:rsidRPr="00E532F9" w:rsidRDefault="00E54CE6">
            <w:pPr>
              <w:rPr>
                <w:rFonts w:eastAsia="Calibri" w:cs="Times New Roman"/>
              </w:rPr>
            </w:pPr>
          </w:p>
        </w:tc>
        <w:tc>
          <w:tcPr>
            <w:tcW w:w="4317" w:type="dxa"/>
          </w:tcPr>
          <w:p w14:paraId="15B75E8A" w14:textId="77777777" w:rsidR="00E54CE6" w:rsidRPr="00E532F9" w:rsidRDefault="0016202A">
            <w:pPr>
              <w:jc w:val="center"/>
              <w:rPr>
                <w:rFonts w:eastAsia="Calibri" w:cs="Times New Roman"/>
                <w:sz w:val="24"/>
                <w:szCs w:val="24"/>
                <w:u w:val="single"/>
              </w:rPr>
            </w:pPr>
            <w:r>
              <w:rPr>
                <w:b/>
                <w:color w:val="0D0D0D"/>
                <w:sz w:val="24"/>
                <w:szCs w:val="24"/>
                <w:u w:val="single"/>
              </w:rPr>
              <w:t>Pruebas Exigidas</w:t>
            </w:r>
          </w:p>
          <w:p w14:paraId="36B29EEA" w14:textId="77777777" w:rsidR="00E54CE6" w:rsidRPr="00E532F9" w:rsidRDefault="00E54CE6">
            <w:pPr>
              <w:rPr>
                <w:rFonts w:eastAsia="Calibri" w:cs="Times New Roman"/>
                <w:sz w:val="24"/>
                <w:szCs w:val="24"/>
                <w:u w:val="single"/>
              </w:rPr>
            </w:pPr>
          </w:p>
          <w:p w14:paraId="7D87351F" w14:textId="77777777" w:rsidR="00E54CE6" w:rsidRPr="00E532F9" w:rsidRDefault="0016202A">
            <w:pPr>
              <w:rPr>
                <w:rFonts w:eastAsia="Calibri" w:cs="Times New Roman"/>
                <w:sz w:val="24"/>
                <w:szCs w:val="24"/>
                <w:u w:val="single"/>
              </w:rPr>
            </w:pPr>
            <w:r>
              <w:rPr>
                <w:sz w:val="24"/>
                <w:szCs w:val="24"/>
                <w:u w:val="single"/>
              </w:rPr>
              <w:t>Sin nivel de plomo en la sangre o en los huesos</w:t>
            </w:r>
            <w:r>
              <w:rPr>
                <w:sz w:val="24"/>
                <w:szCs w:val="24"/>
              </w:rPr>
              <w:t>: Verificación del formulario donde se declara el cumplimiento de los requisitos, con documentación básica.</w:t>
            </w:r>
          </w:p>
        </w:tc>
      </w:tr>
      <w:tr w:rsidR="00E54CE6" w:rsidRPr="00E532F9" w14:paraId="45065812" w14:textId="77777777">
        <w:tc>
          <w:tcPr>
            <w:tcW w:w="12950" w:type="dxa"/>
            <w:gridSpan w:val="3"/>
            <w:shd w:val="clear" w:color="auto" w:fill="B4C6E7"/>
          </w:tcPr>
          <w:p w14:paraId="78E530B4" w14:textId="77777777" w:rsidR="00E54CE6" w:rsidRPr="00E532F9" w:rsidRDefault="00E54CE6">
            <w:pPr>
              <w:jc w:val="center"/>
              <w:rPr>
                <w:rFonts w:eastAsia="Calibri" w:cs="Times New Roman"/>
                <w:b/>
                <w:sz w:val="24"/>
                <w:szCs w:val="24"/>
                <w:u w:val="single"/>
              </w:rPr>
            </w:pPr>
          </w:p>
          <w:p w14:paraId="0B8A6CD2" w14:textId="77777777" w:rsidR="00E54CE6" w:rsidRPr="00E532F9" w:rsidRDefault="0016202A">
            <w:pPr>
              <w:jc w:val="center"/>
              <w:rPr>
                <w:rFonts w:eastAsia="Calibri" w:cs="Times New Roman"/>
                <w:b/>
                <w:caps/>
                <w:sz w:val="24"/>
                <w:szCs w:val="24"/>
                <w:u w:val="single"/>
              </w:rPr>
            </w:pPr>
            <w:r>
              <w:rPr>
                <w:b/>
                <w:caps/>
                <w:sz w:val="24"/>
                <w:szCs w:val="24"/>
                <w:u w:val="single"/>
              </w:rPr>
              <w:t>Categoría 14</w:t>
            </w:r>
          </w:p>
          <w:p w14:paraId="587D587A" w14:textId="77777777" w:rsidR="00E54CE6" w:rsidRPr="00E532F9" w:rsidRDefault="0016202A">
            <w:pPr>
              <w:autoSpaceDE w:val="0"/>
              <w:autoSpaceDN w:val="0"/>
              <w:adjustRightInd w:val="0"/>
              <w:contextualSpacing/>
              <w:jc w:val="center"/>
              <w:rPr>
                <w:rFonts w:eastAsia="Calibri" w:cs="Times New Roman"/>
                <w:sz w:val="24"/>
                <w:szCs w:val="24"/>
                <w:u w:val="single"/>
              </w:rPr>
            </w:pPr>
            <w:r>
              <w:rPr>
                <w:sz w:val="24"/>
                <w:szCs w:val="24"/>
                <w:u w:val="single"/>
              </w:rPr>
              <w:t>Preadolescente, entre 7 y 11 años</w:t>
            </w:r>
            <w:r>
              <w:rPr>
                <w:sz w:val="24"/>
                <w:szCs w:val="24"/>
              </w:rPr>
              <w:t>, expuesto al agua de Flint después del 31 de julio de 2016</w:t>
            </w:r>
          </w:p>
          <w:p w14:paraId="5BB83642" w14:textId="77777777" w:rsidR="00E54CE6" w:rsidRPr="00E532F9" w:rsidRDefault="00E54CE6">
            <w:pPr>
              <w:autoSpaceDE w:val="0"/>
              <w:autoSpaceDN w:val="0"/>
              <w:adjustRightInd w:val="0"/>
              <w:contextualSpacing/>
              <w:jc w:val="center"/>
              <w:rPr>
                <w:rFonts w:eastAsia="Calibri" w:cs="Times New Roman"/>
                <w:b/>
                <w:sz w:val="24"/>
                <w:szCs w:val="24"/>
                <w:u w:val="single"/>
              </w:rPr>
            </w:pPr>
          </w:p>
        </w:tc>
      </w:tr>
      <w:tr w:rsidR="00E54CE6" w:rsidRPr="00E532F9" w14:paraId="0BBEC560" w14:textId="77777777">
        <w:tc>
          <w:tcPr>
            <w:tcW w:w="4316" w:type="dxa"/>
          </w:tcPr>
          <w:p w14:paraId="1F6D7911" w14:textId="77777777" w:rsidR="00E54CE6" w:rsidRPr="00E532F9" w:rsidRDefault="0016202A">
            <w:pPr>
              <w:jc w:val="center"/>
              <w:rPr>
                <w:rFonts w:eastAsia="Calibri" w:cs="Times New Roman"/>
                <w:b/>
                <w:sz w:val="24"/>
                <w:szCs w:val="24"/>
                <w:u w:val="single"/>
              </w:rPr>
            </w:pPr>
            <w:r>
              <w:rPr>
                <w:b/>
                <w:sz w:val="24"/>
                <w:szCs w:val="24"/>
                <w:u w:val="single"/>
              </w:rPr>
              <w:t>Descripción de la Categoría</w:t>
            </w:r>
          </w:p>
          <w:p w14:paraId="45CA4270" w14:textId="77777777" w:rsidR="00E54CE6" w:rsidRPr="00E532F9" w:rsidRDefault="00E54CE6">
            <w:pPr>
              <w:jc w:val="both"/>
              <w:rPr>
                <w:rFonts w:eastAsia="Calibri" w:cs="Times New Roman"/>
                <w:b/>
                <w:sz w:val="24"/>
                <w:szCs w:val="24"/>
                <w:u w:val="single"/>
              </w:rPr>
            </w:pPr>
          </w:p>
          <w:p w14:paraId="7B63A48A" w14:textId="77777777" w:rsidR="00E54CE6" w:rsidRPr="00E532F9" w:rsidRDefault="0016202A">
            <w:pPr>
              <w:jc w:val="both"/>
              <w:rPr>
                <w:rFonts w:eastAsia="Calibri" w:cs="Times New Roman"/>
                <w:b/>
                <w:sz w:val="24"/>
                <w:szCs w:val="24"/>
                <w:u w:val="single"/>
              </w:rPr>
            </w:pPr>
            <w:r>
              <w:rPr>
                <w:b/>
                <w:sz w:val="24"/>
                <w:szCs w:val="24"/>
                <w:u w:val="single"/>
              </w:rPr>
              <w:t>Exposición al agua de Flint después del 31 de julio de 2016</w:t>
            </w:r>
          </w:p>
          <w:p w14:paraId="38AC4AE1" w14:textId="77777777" w:rsidR="00E54CE6" w:rsidRPr="00E532F9" w:rsidRDefault="0016202A">
            <w:pPr>
              <w:jc w:val="both"/>
              <w:rPr>
                <w:rFonts w:eastAsia="Calibri" w:cs="Times New Roman"/>
                <w:sz w:val="24"/>
                <w:szCs w:val="24"/>
              </w:rPr>
            </w:pPr>
            <w:r>
              <w:rPr>
                <w:iCs/>
                <w:sz w:val="24"/>
                <w:szCs w:val="24"/>
              </w:rPr>
              <w:t>Personas entre 7 y 11 años en el momento de la primera exposición quienes</w:t>
            </w:r>
            <w:r>
              <w:rPr>
                <w:sz w:val="24"/>
                <w:szCs w:val="24"/>
              </w:rPr>
              <w:t>:</w:t>
            </w:r>
          </w:p>
          <w:p w14:paraId="44C1603F" w14:textId="77777777" w:rsidR="00E54CE6" w:rsidRPr="00E532F9" w:rsidRDefault="00E54CE6">
            <w:pPr>
              <w:jc w:val="both"/>
              <w:rPr>
                <w:rFonts w:eastAsia="Calibri" w:cs="Times New Roman"/>
                <w:sz w:val="24"/>
                <w:szCs w:val="24"/>
              </w:rPr>
            </w:pPr>
          </w:p>
          <w:p w14:paraId="499627CE" w14:textId="77777777" w:rsidR="00E54CE6" w:rsidRPr="00E532F9" w:rsidRDefault="0016202A">
            <w:pPr>
              <w:jc w:val="both"/>
              <w:rPr>
                <w:rFonts w:eastAsia="Calibri" w:cs="Times New Roman"/>
                <w:sz w:val="24"/>
                <w:szCs w:val="24"/>
              </w:rPr>
            </w:pPr>
            <w:r>
              <w:rPr>
                <w:sz w:val="24"/>
                <w:szCs w:val="24"/>
              </w:rPr>
              <w:t>(1) Por al menos 21 días durante cualquier período de 30 días después del 31 de julio de 2016 y antes de la Fecha de Celebración del Acuerdo de Indemnización;</w:t>
            </w:r>
          </w:p>
          <w:p w14:paraId="2081D84A" w14:textId="77777777" w:rsidR="00E54CE6" w:rsidRPr="00E532F9" w:rsidRDefault="00E54CE6">
            <w:pPr>
              <w:jc w:val="both"/>
              <w:rPr>
                <w:rFonts w:eastAsia="Calibri" w:cs="Times New Roman"/>
                <w:sz w:val="24"/>
                <w:szCs w:val="24"/>
              </w:rPr>
            </w:pPr>
          </w:p>
          <w:p w14:paraId="3053492E" w14:textId="77777777" w:rsidR="00E54CE6" w:rsidRPr="00E532F9" w:rsidRDefault="0016202A">
            <w:pPr>
              <w:jc w:val="both"/>
              <w:rPr>
                <w:rFonts w:eastAsia="Calibri" w:cs="Times New Roman"/>
                <w:sz w:val="24"/>
                <w:szCs w:val="24"/>
              </w:rPr>
            </w:pPr>
            <w:r>
              <w:rPr>
                <w:sz w:val="24"/>
                <w:szCs w:val="24"/>
              </w:rPr>
              <w:t>(2) Residieron, habitaron o asistieron a escuelas o guarderías de Flint, o estuvieron expuestas de alguna forma al agua de Flint.</w:t>
            </w:r>
          </w:p>
          <w:p w14:paraId="062B2954" w14:textId="77777777" w:rsidR="00E54CE6" w:rsidRPr="00E532F9" w:rsidRDefault="00E54CE6">
            <w:pPr>
              <w:jc w:val="both"/>
              <w:rPr>
                <w:rFonts w:eastAsia="Calibri" w:cs="Times New Roman"/>
              </w:rPr>
            </w:pPr>
          </w:p>
        </w:tc>
        <w:tc>
          <w:tcPr>
            <w:tcW w:w="4317" w:type="dxa"/>
          </w:tcPr>
          <w:p w14:paraId="40DD3729" w14:textId="77777777" w:rsidR="00E54CE6" w:rsidRPr="00E532F9" w:rsidRDefault="0016202A">
            <w:pPr>
              <w:jc w:val="center"/>
              <w:rPr>
                <w:rFonts w:eastAsia="Calibri" w:cs="Times New Roman"/>
                <w:b/>
                <w:color w:val="0070C0"/>
                <w:sz w:val="24"/>
                <w:szCs w:val="24"/>
              </w:rPr>
            </w:pPr>
            <w:r>
              <w:rPr>
                <w:b/>
                <w:color w:val="0D0D0D"/>
                <w:sz w:val="24"/>
                <w:szCs w:val="24"/>
                <w:u w:val="single"/>
              </w:rPr>
              <w:t>Prestaciones Pecuniarias</w:t>
            </w:r>
          </w:p>
          <w:p w14:paraId="0199E9DA" w14:textId="77777777" w:rsidR="00E54CE6" w:rsidRPr="00E532F9" w:rsidRDefault="00E54CE6">
            <w:pPr>
              <w:jc w:val="center"/>
              <w:rPr>
                <w:rFonts w:eastAsia="Calibri" w:cs="Times New Roman"/>
                <w:b/>
                <w:color w:val="0070C0"/>
                <w:sz w:val="24"/>
                <w:szCs w:val="24"/>
              </w:rPr>
            </w:pPr>
          </w:p>
          <w:p w14:paraId="08AD0E64" w14:textId="77777777" w:rsidR="00E54CE6" w:rsidRPr="00E532F9" w:rsidRDefault="00E54CE6">
            <w:pPr>
              <w:jc w:val="center"/>
              <w:rPr>
                <w:rFonts w:eastAsia="Calibri" w:cs="Times New Roman"/>
                <w:b/>
                <w:color w:val="0070C0"/>
                <w:sz w:val="24"/>
                <w:szCs w:val="24"/>
              </w:rPr>
            </w:pPr>
          </w:p>
          <w:p w14:paraId="720DBCA9" w14:textId="77777777" w:rsidR="00E54CE6" w:rsidRPr="00E532F9" w:rsidRDefault="0016202A">
            <w:pPr>
              <w:jc w:val="center"/>
              <w:rPr>
                <w:rFonts w:eastAsia="Calibri" w:cs="Times New Roman"/>
                <w:b/>
                <w:color w:val="0070C0"/>
                <w:sz w:val="24"/>
                <w:szCs w:val="24"/>
              </w:rPr>
            </w:pPr>
            <w:r>
              <w:rPr>
                <w:b/>
                <w:color w:val="0070C0"/>
                <w:sz w:val="24"/>
                <w:szCs w:val="24"/>
              </w:rPr>
              <w:t>0.1y</w:t>
            </w:r>
          </w:p>
          <w:p w14:paraId="140B9CCA" w14:textId="77777777" w:rsidR="00E54CE6" w:rsidRPr="00E532F9" w:rsidRDefault="00E54CE6">
            <w:pPr>
              <w:rPr>
                <w:rFonts w:eastAsia="Calibri" w:cs="Times New Roman"/>
              </w:rPr>
            </w:pPr>
          </w:p>
        </w:tc>
        <w:tc>
          <w:tcPr>
            <w:tcW w:w="4317" w:type="dxa"/>
          </w:tcPr>
          <w:p w14:paraId="1C8AB725" w14:textId="77777777" w:rsidR="00E54CE6" w:rsidRPr="00E532F9" w:rsidRDefault="0016202A">
            <w:pPr>
              <w:jc w:val="center"/>
              <w:rPr>
                <w:rFonts w:eastAsia="Calibri" w:cs="Times New Roman"/>
                <w:sz w:val="24"/>
                <w:szCs w:val="24"/>
                <w:u w:val="single"/>
              </w:rPr>
            </w:pPr>
            <w:r>
              <w:rPr>
                <w:b/>
                <w:color w:val="0D0D0D"/>
                <w:sz w:val="24"/>
                <w:szCs w:val="24"/>
                <w:u w:val="single"/>
              </w:rPr>
              <w:t xml:space="preserve">Pruebas Exigidas   </w:t>
            </w:r>
          </w:p>
          <w:p w14:paraId="10A0BE0B" w14:textId="77777777" w:rsidR="00E54CE6" w:rsidRPr="00E532F9" w:rsidRDefault="00E54CE6">
            <w:pPr>
              <w:jc w:val="both"/>
              <w:rPr>
                <w:rFonts w:eastAsia="Calibri" w:cs="Times New Roman"/>
                <w:sz w:val="24"/>
                <w:szCs w:val="24"/>
                <w:u w:val="single"/>
              </w:rPr>
            </w:pPr>
          </w:p>
          <w:p w14:paraId="01A756EF" w14:textId="77777777" w:rsidR="00E54CE6" w:rsidRPr="00E532F9" w:rsidRDefault="0016202A">
            <w:pPr>
              <w:jc w:val="both"/>
              <w:rPr>
                <w:rFonts w:eastAsia="Calibri" w:cs="Times New Roman"/>
              </w:rPr>
            </w:pPr>
            <w:r>
              <w:rPr>
                <w:sz w:val="24"/>
                <w:szCs w:val="24"/>
                <w:u w:val="single"/>
              </w:rPr>
              <w:t>Exposición al agua de Flint después del 31 de julio de 2016</w:t>
            </w:r>
            <w:r>
              <w:rPr>
                <w:sz w:val="24"/>
                <w:szCs w:val="24"/>
              </w:rPr>
              <w:t>: Verificación del formulario donde se declara el cumplimiento de los requisitos, con documentación básica.</w:t>
            </w:r>
          </w:p>
        </w:tc>
      </w:tr>
    </w:tbl>
    <w:p w14:paraId="30A6B058" w14:textId="1923FAF9" w:rsidR="00E54CE6" w:rsidRDefault="00E54CE6">
      <w:pPr>
        <w:rPr>
          <w:rFonts w:eastAsia="Calibri" w:cs="Times New Roman"/>
        </w:rPr>
      </w:pPr>
    </w:p>
    <w:p w14:paraId="145FE479" w14:textId="3DCCAA68" w:rsidR="00BE39BF" w:rsidRDefault="00BE39BF">
      <w:pPr>
        <w:rPr>
          <w:rFonts w:eastAsia="Calibri" w:cs="Times New Roman"/>
        </w:rPr>
      </w:pPr>
    </w:p>
    <w:p w14:paraId="6FB23750" w14:textId="77777777" w:rsidR="00BE39BF" w:rsidRPr="00E532F9" w:rsidRDefault="00BE39BF">
      <w:pPr>
        <w:rPr>
          <w:rFonts w:eastAsia="Calibri" w:cs="Times New Roman"/>
        </w:rPr>
      </w:pPr>
    </w:p>
    <w:p w14:paraId="05C7F55A" w14:textId="77777777" w:rsidR="00E54CE6" w:rsidRPr="00E532F9" w:rsidRDefault="0016202A">
      <w:pPr>
        <w:numPr>
          <w:ilvl w:val="0"/>
          <w:numId w:val="3"/>
        </w:numPr>
        <w:contextualSpacing/>
        <w:rPr>
          <w:rFonts w:eastAsia="Calibri" w:cs="Times New Roman"/>
          <w:b/>
          <w:bCs/>
          <w:u w:val="single"/>
        </w:rPr>
      </w:pPr>
      <w:r>
        <w:rPr>
          <w:b/>
          <w:bCs/>
          <w:u w:val="single"/>
        </w:rPr>
        <w:lastRenderedPageBreak/>
        <w:t>Categorías de Indemnización para Adolescentes (entre 12 y 17 años)</w:t>
      </w:r>
    </w:p>
    <w:tbl>
      <w:tblPr>
        <w:tblStyle w:val="TableGrid1"/>
        <w:tblW w:w="0" w:type="auto"/>
        <w:tblLook w:val="04A0" w:firstRow="1" w:lastRow="0" w:firstColumn="1" w:lastColumn="0" w:noHBand="0" w:noVBand="1"/>
      </w:tblPr>
      <w:tblGrid>
        <w:gridCol w:w="4316"/>
        <w:gridCol w:w="4317"/>
        <w:gridCol w:w="4317"/>
      </w:tblGrid>
      <w:tr w:rsidR="00E54CE6" w:rsidRPr="00E532F9" w14:paraId="62796FC6" w14:textId="77777777">
        <w:tc>
          <w:tcPr>
            <w:tcW w:w="12950" w:type="dxa"/>
            <w:gridSpan w:val="3"/>
            <w:shd w:val="clear" w:color="auto" w:fill="FFF2CC"/>
          </w:tcPr>
          <w:p w14:paraId="631C4390" w14:textId="77777777" w:rsidR="00E54CE6" w:rsidRPr="00E532F9" w:rsidRDefault="0016202A">
            <w:pPr>
              <w:rPr>
                <w:rFonts w:eastAsia="Calibri" w:cs="Times New Roman"/>
                <w:b/>
                <w:bCs/>
                <w:sz w:val="24"/>
                <w:szCs w:val="24"/>
                <w:u w:val="single"/>
              </w:rPr>
            </w:pPr>
            <w:r>
              <w:rPr>
                <w:b/>
                <w:bCs/>
                <w:sz w:val="24"/>
                <w:szCs w:val="24"/>
                <w:u w:val="single"/>
              </w:rPr>
              <w:t>Explicación de las Prestaciones Pecuniarias</w:t>
            </w:r>
          </w:p>
          <w:p w14:paraId="4E58E6E8" w14:textId="77777777" w:rsidR="00E54CE6" w:rsidRPr="00E532F9" w:rsidRDefault="00E54CE6">
            <w:pPr>
              <w:rPr>
                <w:rFonts w:eastAsia="Calibri" w:cs="Times New Roman"/>
                <w:b/>
                <w:bCs/>
                <w:sz w:val="24"/>
                <w:szCs w:val="24"/>
                <w:u w:val="single"/>
              </w:rPr>
            </w:pPr>
          </w:p>
          <w:p w14:paraId="439F308B" w14:textId="77777777" w:rsidR="00E54CE6" w:rsidRPr="00E532F9" w:rsidRDefault="0016202A">
            <w:pPr>
              <w:numPr>
                <w:ilvl w:val="0"/>
                <w:numId w:val="8"/>
              </w:numPr>
              <w:spacing w:after="240"/>
              <w:jc w:val="both"/>
              <w:rPr>
                <w:rFonts w:eastAsia="Calibri" w:cs="Times New Roman"/>
                <w:sz w:val="24"/>
                <w:szCs w:val="24"/>
              </w:rPr>
            </w:pPr>
            <w:r>
              <w:rPr>
                <w:sz w:val="24"/>
                <w:szCs w:val="24"/>
              </w:rPr>
              <w:t>Los montos de la Prestación Pecuniaria para las Categorías de menores de edad entre 12 y 17 años se indican como un factor de “z”.</w:t>
            </w:r>
          </w:p>
          <w:p w14:paraId="4D160B4E" w14:textId="77777777" w:rsidR="00E54CE6" w:rsidRPr="00E532F9" w:rsidRDefault="0016202A">
            <w:pPr>
              <w:numPr>
                <w:ilvl w:val="0"/>
                <w:numId w:val="8"/>
              </w:numPr>
              <w:spacing w:after="240"/>
              <w:jc w:val="both"/>
              <w:rPr>
                <w:rFonts w:eastAsia="Calibri" w:cs="Times New Roman"/>
                <w:sz w:val="24"/>
                <w:szCs w:val="24"/>
              </w:rPr>
            </w:pPr>
            <w:r>
              <w:rPr>
                <w:sz w:val="24"/>
                <w:szCs w:val="24"/>
              </w:rPr>
              <w:t>Se asignará 5% del Fondo de Indemnización Calificado de los Casos del Agua de Flint al total de todas las Categorías z, tal como se describe en la nota al pie 1.</w:t>
            </w:r>
          </w:p>
          <w:p w14:paraId="61BC7BC3" w14:textId="77777777" w:rsidR="00E54CE6" w:rsidRPr="00E532F9" w:rsidRDefault="0016202A">
            <w:pPr>
              <w:numPr>
                <w:ilvl w:val="0"/>
                <w:numId w:val="8"/>
              </w:numPr>
              <w:spacing w:after="240"/>
              <w:jc w:val="both"/>
              <w:rPr>
                <w:rFonts w:eastAsia="Calibri" w:cs="Times New Roman"/>
              </w:rPr>
            </w:pPr>
            <w:r>
              <w:rPr>
                <w:sz w:val="24"/>
                <w:szCs w:val="24"/>
              </w:rPr>
              <w:t xml:space="preserve">El Administrador de Reclamaciones determinará el monto real de “z” en dólares después de procesar todas las Reclamaciones (a excepción de las Reclamaciones Futuras del Fondo de Indemnización </w:t>
            </w:r>
            <w:proofErr w:type="spellStart"/>
            <w:r>
              <w:rPr>
                <w:sz w:val="24"/>
                <w:szCs w:val="24"/>
              </w:rPr>
              <w:t>Subcalificado</w:t>
            </w:r>
            <w:proofErr w:type="spellEnd"/>
            <w:r>
              <w:rPr>
                <w:sz w:val="24"/>
                <w:szCs w:val="24"/>
              </w:rPr>
              <w:t xml:space="preserve"> para Menores de Edad), dado que “z” se basa en el número de Reclamantes que reciben las Prestaciones Pecuniarias en cada Categoría respectiva.</w:t>
            </w:r>
          </w:p>
          <w:p w14:paraId="16E4CC2C" w14:textId="77777777" w:rsidR="00E54CE6" w:rsidRPr="00E532F9" w:rsidRDefault="0016202A">
            <w:pPr>
              <w:numPr>
                <w:ilvl w:val="0"/>
                <w:numId w:val="8"/>
              </w:numPr>
              <w:spacing w:after="240"/>
              <w:jc w:val="both"/>
              <w:rPr>
                <w:rFonts w:eastAsia="Calibri" w:cs="Times New Roman"/>
              </w:rPr>
            </w:pPr>
            <w:r>
              <w:rPr>
                <w:sz w:val="24"/>
                <w:szCs w:val="24"/>
              </w:rPr>
              <w:t>Si bien se pueden estimar los montos de la Prestación Pecuniaria sobre la base de “z” antes de que el Administrador de Reclamaciones procese efectivamente todas las Reclamaciones, serán solo estimaciones que están sujetas a un número de variables que no se pueden determinar hasta que se procesen todas las Reclamaciones. Por lo tanto, las Prestaciones Pecuniarias reales podrían variar significativamente de las estimaciones previas de tales prestaciones.</w:t>
            </w:r>
          </w:p>
        </w:tc>
      </w:tr>
      <w:tr w:rsidR="00E54CE6" w:rsidRPr="00E532F9" w14:paraId="5C4667DC" w14:textId="77777777">
        <w:tc>
          <w:tcPr>
            <w:tcW w:w="12950" w:type="dxa"/>
            <w:gridSpan w:val="3"/>
            <w:shd w:val="clear" w:color="auto" w:fill="B4C6E7"/>
          </w:tcPr>
          <w:p w14:paraId="67C1FD2F" w14:textId="77777777" w:rsidR="00E54CE6" w:rsidRPr="00E532F9" w:rsidRDefault="00E54CE6">
            <w:pPr>
              <w:jc w:val="center"/>
              <w:rPr>
                <w:rFonts w:eastAsia="Calibri" w:cs="Times New Roman"/>
                <w:b/>
                <w:sz w:val="24"/>
                <w:szCs w:val="24"/>
                <w:u w:val="single"/>
              </w:rPr>
            </w:pPr>
          </w:p>
          <w:p w14:paraId="181AD063" w14:textId="77777777" w:rsidR="00E54CE6" w:rsidRPr="00E532F9" w:rsidRDefault="0016202A">
            <w:pPr>
              <w:jc w:val="center"/>
              <w:rPr>
                <w:rFonts w:eastAsia="Calibri" w:cs="Times New Roman"/>
                <w:b/>
                <w:caps/>
                <w:sz w:val="24"/>
                <w:szCs w:val="24"/>
                <w:u w:val="single"/>
              </w:rPr>
            </w:pPr>
            <w:r>
              <w:rPr>
                <w:b/>
                <w:caps/>
                <w:sz w:val="24"/>
                <w:szCs w:val="24"/>
                <w:u w:val="single"/>
              </w:rPr>
              <w:t>Categoría 15</w:t>
            </w:r>
          </w:p>
          <w:p w14:paraId="57B93769" w14:textId="77777777" w:rsidR="00E54CE6" w:rsidRPr="00E532F9" w:rsidRDefault="0016202A">
            <w:pPr>
              <w:autoSpaceDE w:val="0"/>
              <w:autoSpaceDN w:val="0"/>
              <w:adjustRightInd w:val="0"/>
              <w:contextualSpacing/>
              <w:jc w:val="center"/>
              <w:rPr>
                <w:rFonts w:eastAsia="Calibri" w:cs="Times New Roman"/>
                <w:sz w:val="24"/>
                <w:szCs w:val="24"/>
              </w:rPr>
            </w:pPr>
            <w:r>
              <w:rPr>
                <w:sz w:val="24"/>
                <w:szCs w:val="24"/>
                <w:u w:val="single"/>
              </w:rPr>
              <w:t>Adolescente, entre 12 y 17 años</w:t>
            </w:r>
            <w:r>
              <w:rPr>
                <w:sz w:val="24"/>
                <w:szCs w:val="24"/>
              </w:rPr>
              <w:t>, nivel de plomo.</w:t>
            </w:r>
          </w:p>
          <w:p w14:paraId="778FA1FD" w14:textId="77777777" w:rsidR="00E54CE6" w:rsidRPr="00E532F9" w:rsidRDefault="00E54CE6">
            <w:pPr>
              <w:autoSpaceDE w:val="0"/>
              <w:autoSpaceDN w:val="0"/>
              <w:adjustRightInd w:val="0"/>
              <w:contextualSpacing/>
              <w:jc w:val="center"/>
              <w:rPr>
                <w:rFonts w:eastAsia="Calibri" w:cs="Times New Roman"/>
                <w:b/>
                <w:sz w:val="24"/>
                <w:szCs w:val="24"/>
                <w:u w:val="single"/>
              </w:rPr>
            </w:pPr>
          </w:p>
        </w:tc>
      </w:tr>
      <w:tr w:rsidR="00E54CE6" w:rsidRPr="00E532F9" w14:paraId="55FB7DB3" w14:textId="77777777">
        <w:tc>
          <w:tcPr>
            <w:tcW w:w="4316" w:type="dxa"/>
          </w:tcPr>
          <w:p w14:paraId="140B53FE" w14:textId="77777777" w:rsidR="00E54CE6" w:rsidRPr="00E532F9" w:rsidRDefault="0016202A">
            <w:pPr>
              <w:jc w:val="center"/>
              <w:rPr>
                <w:rFonts w:eastAsia="Calibri" w:cs="Times New Roman"/>
                <w:b/>
                <w:bCs/>
                <w:sz w:val="24"/>
                <w:szCs w:val="24"/>
                <w:u w:val="single"/>
              </w:rPr>
            </w:pPr>
            <w:r>
              <w:rPr>
                <w:b/>
                <w:bCs/>
                <w:sz w:val="24"/>
                <w:szCs w:val="24"/>
                <w:u w:val="single"/>
              </w:rPr>
              <w:t>Descripción de la Categoría</w:t>
            </w:r>
          </w:p>
          <w:p w14:paraId="11A1EE6C" w14:textId="77777777" w:rsidR="00E54CE6" w:rsidRPr="00E532F9" w:rsidRDefault="00E54CE6">
            <w:pPr>
              <w:jc w:val="both"/>
              <w:rPr>
                <w:rFonts w:eastAsia="Calibri" w:cs="Times New Roman"/>
                <w:i/>
                <w:iCs/>
                <w:sz w:val="24"/>
                <w:szCs w:val="24"/>
              </w:rPr>
            </w:pPr>
          </w:p>
          <w:p w14:paraId="0C447317" w14:textId="77777777" w:rsidR="00E54CE6" w:rsidRPr="00E532F9" w:rsidRDefault="0016202A">
            <w:pPr>
              <w:jc w:val="both"/>
              <w:rPr>
                <w:rFonts w:eastAsia="Calibri" w:cs="Times New Roman"/>
                <w:b/>
                <w:iCs/>
                <w:sz w:val="24"/>
                <w:szCs w:val="24"/>
                <w:u w:val="single"/>
              </w:rPr>
            </w:pPr>
            <w:r>
              <w:rPr>
                <w:b/>
                <w:iCs/>
                <w:sz w:val="24"/>
                <w:szCs w:val="24"/>
                <w:u w:val="single"/>
              </w:rPr>
              <w:t>Nivel de Plomo</w:t>
            </w:r>
          </w:p>
          <w:p w14:paraId="38FFE244" w14:textId="77777777" w:rsidR="00E54CE6" w:rsidRPr="00E532F9" w:rsidRDefault="0016202A">
            <w:pPr>
              <w:jc w:val="both"/>
              <w:rPr>
                <w:rFonts w:eastAsia="Calibri" w:cs="Times New Roman"/>
                <w:sz w:val="24"/>
                <w:szCs w:val="24"/>
              </w:rPr>
            </w:pPr>
            <w:r>
              <w:rPr>
                <w:iCs/>
                <w:sz w:val="24"/>
                <w:szCs w:val="24"/>
              </w:rPr>
              <w:t>Personas entre 12 y 17 años en el momento de la primera exposición quienes</w:t>
            </w:r>
            <w:r>
              <w:rPr>
                <w:sz w:val="24"/>
                <w:szCs w:val="24"/>
              </w:rPr>
              <w:t>:</w:t>
            </w:r>
          </w:p>
          <w:p w14:paraId="4B982B49" w14:textId="77777777" w:rsidR="00E54CE6" w:rsidRPr="00E532F9" w:rsidRDefault="00E54CE6">
            <w:pPr>
              <w:jc w:val="both"/>
              <w:rPr>
                <w:rFonts w:eastAsia="Calibri" w:cs="Times New Roman"/>
                <w:sz w:val="24"/>
                <w:szCs w:val="24"/>
              </w:rPr>
            </w:pPr>
          </w:p>
          <w:p w14:paraId="27C16E88" w14:textId="77777777" w:rsidR="00E54CE6" w:rsidRPr="00E532F9" w:rsidRDefault="0016202A">
            <w:pPr>
              <w:jc w:val="both"/>
              <w:rPr>
                <w:rFonts w:eastAsia="Calibri" w:cs="Times New Roman"/>
                <w:sz w:val="24"/>
                <w:szCs w:val="24"/>
              </w:rPr>
            </w:pPr>
            <w:r>
              <w:rPr>
                <w:sz w:val="24"/>
                <w:szCs w:val="24"/>
              </w:rPr>
              <w:t>(1) Por al menos 21 días durante cualquier período de 30 días entre el 25 de abril de 2014 y el 31 de julio de 2016;</w:t>
            </w:r>
          </w:p>
          <w:p w14:paraId="42BA172C" w14:textId="77777777" w:rsidR="00E54CE6" w:rsidRPr="00E532F9" w:rsidRDefault="00E54CE6">
            <w:pPr>
              <w:jc w:val="both"/>
              <w:rPr>
                <w:rFonts w:eastAsia="Calibri" w:cs="Times New Roman"/>
                <w:sz w:val="24"/>
                <w:szCs w:val="24"/>
              </w:rPr>
            </w:pPr>
          </w:p>
          <w:p w14:paraId="7817BC90" w14:textId="77777777" w:rsidR="00E54CE6" w:rsidRPr="00E532F9" w:rsidRDefault="0016202A">
            <w:pPr>
              <w:jc w:val="both"/>
              <w:rPr>
                <w:rFonts w:eastAsia="Calibri" w:cs="Times New Roman"/>
                <w:sz w:val="24"/>
                <w:szCs w:val="24"/>
              </w:rPr>
            </w:pPr>
            <w:r>
              <w:rPr>
                <w:sz w:val="24"/>
                <w:szCs w:val="24"/>
              </w:rPr>
              <w:lastRenderedPageBreak/>
              <w:t xml:space="preserve">(2) Residieron, habitaron o asistieron a la escuela o trabajaron en Flint, o estuvieron expuestas de alguna forma al agua de Flint; </w:t>
            </w:r>
            <w:r>
              <w:rPr>
                <w:b/>
                <w:sz w:val="24"/>
                <w:szCs w:val="24"/>
                <w:u w:val="single"/>
              </w:rPr>
              <w:t>y</w:t>
            </w:r>
          </w:p>
          <w:p w14:paraId="41A9C863" w14:textId="77777777" w:rsidR="00E54CE6" w:rsidRPr="00E532F9" w:rsidRDefault="00E54CE6">
            <w:pPr>
              <w:contextualSpacing/>
              <w:jc w:val="both"/>
              <w:rPr>
                <w:rFonts w:eastAsia="Calibri" w:cs="Times New Roman"/>
                <w:sz w:val="24"/>
                <w:szCs w:val="24"/>
              </w:rPr>
            </w:pPr>
          </w:p>
          <w:p w14:paraId="29796358" w14:textId="77777777" w:rsidR="00E54CE6" w:rsidRPr="00E532F9" w:rsidRDefault="0016202A">
            <w:pPr>
              <w:jc w:val="both"/>
              <w:rPr>
                <w:rFonts w:eastAsia="Calibri" w:cs="Times New Roman"/>
                <w:sz w:val="24"/>
                <w:szCs w:val="24"/>
              </w:rPr>
            </w:pPr>
            <w:r>
              <w:rPr>
                <w:sz w:val="24"/>
                <w:szCs w:val="24"/>
              </w:rPr>
              <w:t xml:space="preserve">(3) Obtuvieron un resultado de 10.0 </w:t>
            </w:r>
            <w:proofErr w:type="spellStart"/>
            <w:r>
              <w:rPr>
                <w:sz w:val="24"/>
                <w:szCs w:val="24"/>
              </w:rPr>
              <w:t>mcg</w:t>
            </w:r>
            <w:proofErr w:type="spellEnd"/>
            <w:r>
              <w:rPr>
                <w:sz w:val="24"/>
                <w:szCs w:val="24"/>
              </w:rPr>
              <w:t>/</w:t>
            </w:r>
            <w:proofErr w:type="spellStart"/>
            <w:r>
              <w:rPr>
                <w:sz w:val="24"/>
                <w:szCs w:val="24"/>
              </w:rPr>
              <w:t>dL</w:t>
            </w:r>
            <w:proofErr w:type="spellEnd"/>
            <w:r>
              <w:rPr>
                <w:sz w:val="24"/>
                <w:szCs w:val="24"/>
              </w:rPr>
              <w:t xml:space="preserve"> o superior en una prueba de nivel de plomo en la sangre realizada entre el 16 de mayo de 2014 y el 31 de agosto de 2016; </w:t>
            </w:r>
            <w:r>
              <w:rPr>
                <w:b/>
                <w:sz w:val="24"/>
                <w:szCs w:val="24"/>
                <w:u w:val="single"/>
              </w:rPr>
              <w:t xml:space="preserve">o </w:t>
            </w:r>
            <w:r>
              <w:rPr>
                <w:sz w:val="24"/>
                <w:szCs w:val="24"/>
              </w:rPr>
              <w:t xml:space="preserve">un resultado de 10.0 </w:t>
            </w:r>
            <w:proofErr w:type="spellStart"/>
            <w:r>
              <w:rPr>
                <w:sz w:val="24"/>
                <w:szCs w:val="24"/>
              </w:rPr>
              <w:t>ug</w:t>
            </w:r>
            <w:proofErr w:type="spellEnd"/>
            <w:r>
              <w:rPr>
                <w:sz w:val="24"/>
                <w:szCs w:val="24"/>
              </w:rPr>
              <w:t>/G o superior en la prueba de cuantificación de plomo in vivo en los huesos de una persona realizada entre el 16 de mayo de 2014 y los 90 días posteriores a la fecha de la Orden de Aprobación Preliminar.</w:t>
            </w:r>
          </w:p>
          <w:p w14:paraId="30E4F798" w14:textId="77777777" w:rsidR="00E54CE6" w:rsidRPr="00E532F9" w:rsidRDefault="00E54CE6">
            <w:pPr>
              <w:rPr>
                <w:rFonts w:eastAsia="Calibri" w:cs="Times New Roman"/>
              </w:rPr>
            </w:pPr>
          </w:p>
        </w:tc>
        <w:tc>
          <w:tcPr>
            <w:tcW w:w="4317" w:type="dxa"/>
          </w:tcPr>
          <w:p w14:paraId="5AFB46C7" w14:textId="77777777" w:rsidR="00E54CE6" w:rsidRPr="00E532F9" w:rsidRDefault="0016202A">
            <w:pPr>
              <w:jc w:val="center"/>
              <w:rPr>
                <w:rFonts w:eastAsia="Calibri" w:cs="Times New Roman"/>
                <w:bCs/>
                <w:color w:val="0070C0"/>
                <w:sz w:val="24"/>
                <w:szCs w:val="24"/>
                <w:u w:val="single"/>
              </w:rPr>
            </w:pPr>
            <w:r>
              <w:rPr>
                <w:b/>
                <w:color w:val="0D0D0D"/>
                <w:sz w:val="24"/>
                <w:szCs w:val="24"/>
                <w:u w:val="single"/>
              </w:rPr>
              <w:lastRenderedPageBreak/>
              <w:t>Prestaciones Pecuniarias</w:t>
            </w:r>
          </w:p>
          <w:p w14:paraId="74D721D9" w14:textId="77777777" w:rsidR="00E54CE6" w:rsidRPr="00E532F9" w:rsidRDefault="00E54CE6">
            <w:pPr>
              <w:jc w:val="center"/>
              <w:rPr>
                <w:rFonts w:eastAsia="Calibri" w:cs="Times New Roman"/>
                <w:b/>
                <w:color w:val="0070C0"/>
                <w:sz w:val="24"/>
                <w:szCs w:val="24"/>
              </w:rPr>
            </w:pPr>
          </w:p>
          <w:p w14:paraId="7C3A6EB3" w14:textId="77777777" w:rsidR="00E54CE6" w:rsidRPr="00E532F9" w:rsidRDefault="0016202A">
            <w:pPr>
              <w:jc w:val="center"/>
              <w:rPr>
                <w:rFonts w:eastAsia="Calibri" w:cs="Times New Roman"/>
                <w:b/>
                <w:color w:val="0070C0"/>
                <w:sz w:val="24"/>
                <w:szCs w:val="24"/>
              </w:rPr>
            </w:pPr>
            <w:r>
              <w:rPr>
                <w:b/>
                <w:color w:val="0070C0"/>
                <w:sz w:val="24"/>
                <w:szCs w:val="24"/>
              </w:rPr>
              <w:t>2z</w:t>
            </w:r>
          </w:p>
          <w:p w14:paraId="68B5C661" w14:textId="77777777" w:rsidR="00E54CE6" w:rsidRPr="00E532F9" w:rsidRDefault="00E54CE6">
            <w:pPr>
              <w:rPr>
                <w:rFonts w:eastAsia="Calibri" w:cs="Times New Roman"/>
                <w:b/>
                <w:color w:val="0070C0"/>
                <w:sz w:val="24"/>
                <w:szCs w:val="24"/>
              </w:rPr>
            </w:pPr>
          </w:p>
          <w:p w14:paraId="20887319" w14:textId="77777777" w:rsidR="00E54CE6" w:rsidRPr="00E532F9" w:rsidRDefault="00E54CE6">
            <w:pPr>
              <w:jc w:val="both"/>
              <w:rPr>
                <w:rFonts w:eastAsia="Calibri" w:cs="Times New Roman"/>
              </w:rPr>
            </w:pPr>
          </w:p>
        </w:tc>
        <w:tc>
          <w:tcPr>
            <w:tcW w:w="4317" w:type="dxa"/>
          </w:tcPr>
          <w:p w14:paraId="2DB4433A" w14:textId="77777777" w:rsidR="00E54CE6" w:rsidRPr="00E532F9" w:rsidRDefault="0016202A">
            <w:pPr>
              <w:jc w:val="center"/>
              <w:rPr>
                <w:rFonts w:eastAsia="Calibri" w:cs="Times New Roman"/>
                <w:sz w:val="24"/>
                <w:szCs w:val="24"/>
                <w:u w:val="single"/>
              </w:rPr>
            </w:pPr>
            <w:r>
              <w:rPr>
                <w:b/>
                <w:color w:val="0D0D0D"/>
                <w:sz w:val="24"/>
                <w:szCs w:val="24"/>
                <w:u w:val="single"/>
              </w:rPr>
              <w:t>Pruebas Exigidas</w:t>
            </w:r>
          </w:p>
          <w:p w14:paraId="7783C3EF" w14:textId="77777777" w:rsidR="00E54CE6" w:rsidRPr="00E532F9" w:rsidRDefault="00E54CE6">
            <w:pPr>
              <w:jc w:val="both"/>
              <w:rPr>
                <w:rFonts w:eastAsia="Calibri" w:cs="Times New Roman"/>
                <w:sz w:val="24"/>
                <w:szCs w:val="24"/>
                <w:u w:val="single"/>
              </w:rPr>
            </w:pPr>
          </w:p>
          <w:p w14:paraId="1500AD0D" w14:textId="77777777" w:rsidR="00E54CE6" w:rsidRPr="00E532F9" w:rsidRDefault="0016202A">
            <w:pPr>
              <w:jc w:val="both"/>
              <w:rPr>
                <w:rFonts w:eastAsia="Calibri" w:cs="Times New Roman"/>
              </w:rPr>
            </w:pPr>
            <w:r>
              <w:rPr>
                <w:sz w:val="24"/>
                <w:szCs w:val="24"/>
                <w:u w:val="single"/>
              </w:rPr>
              <w:t>Pruebas en la sangre o en los huesos</w:t>
            </w:r>
            <w:r>
              <w:rPr>
                <w:sz w:val="24"/>
                <w:szCs w:val="24"/>
              </w:rPr>
              <w:t>: tal como se describe en las pruebas exigidas para la Categoría 1.</w:t>
            </w:r>
          </w:p>
        </w:tc>
      </w:tr>
      <w:tr w:rsidR="00E54CE6" w:rsidRPr="00E532F9" w14:paraId="6846F12A" w14:textId="77777777">
        <w:tc>
          <w:tcPr>
            <w:tcW w:w="12950" w:type="dxa"/>
            <w:gridSpan w:val="3"/>
            <w:shd w:val="clear" w:color="auto" w:fill="B4C6E7"/>
          </w:tcPr>
          <w:p w14:paraId="2C121BCA" w14:textId="77777777" w:rsidR="00E54CE6" w:rsidRPr="00E532F9" w:rsidRDefault="00E54CE6">
            <w:pPr>
              <w:jc w:val="center"/>
              <w:rPr>
                <w:rFonts w:eastAsia="Calibri" w:cs="Times New Roman"/>
                <w:b/>
                <w:sz w:val="24"/>
                <w:szCs w:val="24"/>
                <w:u w:val="single"/>
              </w:rPr>
            </w:pPr>
          </w:p>
          <w:p w14:paraId="4DC0CD1A" w14:textId="77777777" w:rsidR="00E54CE6" w:rsidRPr="00E532F9" w:rsidRDefault="0016202A">
            <w:pPr>
              <w:jc w:val="center"/>
              <w:rPr>
                <w:rFonts w:eastAsia="Calibri" w:cs="Times New Roman"/>
                <w:b/>
                <w:caps/>
                <w:sz w:val="24"/>
                <w:szCs w:val="24"/>
                <w:u w:val="single"/>
              </w:rPr>
            </w:pPr>
            <w:r>
              <w:rPr>
                <w:b/>
                <w:caps/>
                <w:sz w:val="24"/>
                <w:szCs w:val="24"/>
                <w:u w:val="single"/>
              </w:rPr>
              <w:t>Categoría 16</w:t>
            </w:r>
          </w:p>
          <w:p w14:paraId="78894B8A" w14:textId="77777777" w:rsidR="00E54CE6" w:rsidRPr="00E532F9" w:rsidRDefault="0016202A">
            <w:pPr>
              <w:autoSpaceDE w:val="0"/>
              <w:autoSpaceDN w:val="0"/>
              <w:adjustRightInd w:val="0"/>
              <w:contextualSpacing/>
              <w:jc w:val="center"/>
              <w:rPr>
                <w:rFonts w:eastAsia="Calibri" w:cs="Times New Roman"/>
                <w:b/>
                <w:sz w:val="24"/>
                <w:szCs w:val="24"/>
                <w:u w:val="single"/>
              </w:rPr>
            </w:pPr>
            <w:r>
              <w:rPr>
                <w:sz w:val="24"/>
                <w:szCs w:val="24"/>
                <w:u w:val="single"/>
              </w:rPr>
              <w:t>Adolescente, entre 12 y 17 años</w:t>
            </w:r>
            <w:r>
              <w:rPr>
                <w:sz w:val="24"/>
                <w:szCs w:val="24"/>
              </w:rPr>
              <w:t>, nivel de plomo.</w:t>
            </w:r>
            <w:r>
              <w:rPr>
                <w:b/>
                <w:sz w:val="24"/>
                <w:szCs w:val="24"/>
                <w:u w:val="single"/>
              </w:rPr>
              <w:t xml:space="preserve"> </w:t>
            </w:r>
          </w:p>
          <w:p w14:paraId="4623D8F4" w14:textId="77777777" w:rsidR="00E54CE6" w:rsidRPr="00E532F9" w:rsidRDefault="00E54CE6">
            <w:pPr>
              <w:autoSpaceDE w:val="0"/>
              <w:autoSpaceDN w:val="0"/>
              <w:adjustRightInd w:val="0"/>
              <w:contextualSpacing/>
              <w:jc w:val="center"/>
              <w:rPr>
                <w:rFonts w:eastAsia="Calibri" w:cs="Times New Roman"/>
                <w:b/>
                <w:sz w:val="24"/>
                <w:szCs w:val="24"/>
                <w:u w:val="single"/>
              </w:rPr>
            </w:pPr>
          </w:p>
        </w:tc>
      </w:tr>
      <w:tr w:rsidR="00E54CE6" w:rsidRPr="00E532F9" w14:paraId="1A973FFC" w14:textId="77777777">
        <w:tc>
          <w:tcPr>
            <w:tcW w:w="4316" w:type="dxa"/>
          </w:tcPr>
          <w:p w14:paraId="049EC103" w14:textId="77777777" w:rsidR="00E54CE6" w:rsidRPr="00E532F9" w:rsidRDefault="0016202A">
            <w:pPr>
              <w:jc w:val="center"/>
              <w:rPr>
                <w:rFonts w:eastAsia="Calibri" w:cs="Times New Roman"/>
                <w:b/>
                <w:bCs/>
                <w:sz w:val="24"/>
                <w:szCs w:val="24"/>
                <w:u w:val="single"/>
              </w:rPr>
            </w:pPr>
            <w:r>
              <w:rPr>
                <w:b/>
                <w:bCs/>
                <w:sz w:val="24"/>
                <w:szCs w:val="24"/>
                <w:u w:val="single"/>
              </w:rPr>
              <w:t>Descripción de la Categoría</w:t>
            </w:r>
          </w:p>
          <w:p w14:paraId="595F4104" w14:textId="77777777" w:rsidR="00E54CE6" w:rsidRPr="00E532F9" w:rsidRDefault="00E54CE6">
            <w:pPr>
              <w:jc w:val="both"/>
              <w:rPr>
                <w:rFonts w:eastAsia="Calibri" w:cs="Times New Roman"/>
                <w:i/>
                <w:iCs/>
                <w:sz w:val="24"/>
                <w:szCs w:val="24"/>
              </w:rPr>
            </w:pPr>
          </w:p>
          <w:p w14:paraId="364E27BF" w14:textId="77777777" w:rsidR="00E54CE6" w:rsidRPr="00E532F9" w:rsidRDefault="0016202A">
            <w:pPr>
              <w:jc w:val="both"/>
              <w:rPr>
                <w:rFonts w:eastAsia="Calibri" w:cs="Times New Roman"/>
                <w:b/>
                <w:iCs/>
                <w:sz w:val="24"/>
                <w:szCs w:val="24"/>
                <w:u w:val="single"/>
              </w:rPr>
            </w:pPr>
            <w:r>
              <w:rPr>
                <w:b/>
                <w:iCs/>
                <w:sz w:val="24"/>
                <w:szCs w:val="24"/>
                <w:u w:val="single"/>
              </w:rPr>
              <w:t>Nivel de Plomo</w:t>
            </w:r>
          </w:p>
          <w:p w14:paraId="6F579670" w14:textId="77777777" w:rsidR="00E54CE6" w:rsidRPr="00E532F9" w:rsidRDefault="0016202A">
            <w:pPr>
              <w:jc w:val="both"/>
              <w:rPr>
                <w:rFonts w:eastAsia="Calibri" w:cs="Times New Roman"/>
                <w:sz w:val="24"/>
                <w:szCs w:val="24"/>
              </w:rPr>
            </w:pPr>
            <w:r>
              <w:rPr>
                <w:iCs/>
                <w:sz w:val="24"/>
                <w:szCs w:val="24"/>
              </w:rPr>
              <w:t>Personas entre 12 y 17 años en el momento de la primera exposición quienes</w:t>
            </w:r>
            <w:r>
              <w:rPr>
                <w:sz w:val="24"/>
                <w:szCs w:val="24"/>
              </w:rPr>
              <w:t>:</w:t>
            </w:r>
          </w:p>
          <w:p w14:paraId="0E332E8B" w14:textId="77777777" w:rsidR="00E54CE6" w:rsidRPr="00E532F9" w:rsidRDefault="00E54CE6">
            <w:pPr>
              <w:jc w:val="both"/>
              <w:rPr>
                <w:rFonts w:eastAsia="Calibri" w:cs="Times New Roman"/>
                <w:sz w:val="24"/>
                <w:szCs w:val="24"/>
              </w:rPr>
            </w:pPr>
          </w:p>
          <w:p w14:paraId="5C8D34AE" w14:textId="77777777" w:rsidR="00E54CE6" w:rsidRPr="00E532F9" w:rsidRDefault="0016202A">
            <w:pPr>
              <w:jc w:val="both"/>
              <w:rPr>
                <w:rFonts w:eastAsia="Calibri" w:cs="Times New Roman"/>
                <w:sz w:val="24"/>
                <w:szCs w:val="24"/>
              </w:rPr>
            </w:pPr>
            <w:r>
              <w:rPr>
                <w:sz w:val="24"/>
                <w:szCs w:val="24"/>
              </w:rPr>
              <w:t>(1) Por al menos 21 días durante cualquier período de 30 días entre el 25 de abril de 2014 y el 31 de julio de 2016;</w:t>
            </w:r>
          </w:p>
          <w:p w14:paraId="302ADB2B" w14:textId="77777777" w:rsidR="00E54CE6" w:rsidRPr="00E532F9" w:rsidRDefault="00E54CE6">
            <w:pPr>
              <w:jc w:val="both"/>
              <w:rPr>
                <w:rFonts w:eastAsia="Calibri" w:cs="Times New Roman"/>
                <w:sz w:val="24"/>
                <w:szCs w:val="24"/>
              </w:rPr>
            </w:pPr>
          </w:p>
          <w:p w14:paraId="7726BFEF" w14:textId="77777777" w:rsidR="00E54CE6" w:rsidRPr="00E532F9" w:rsidRDefault="0016202A">
            <w:pPr>
              <w:jc w:val="both"/>
              <w:rPr>
                <w:rFonts w:eastAsia="Calibri" w:cs="Times New Roman"/>
                <w:b/>
                <w:sz w:val="24"/>
                <w:szCs w:val="24"/>
                <w:u w:val="single"/>
              </w:rPr>
            </w:pPr>
            <w:r>
              <w:rPr>
                <w:sz w:val="24"/>
                <w:szCs w:val="24"/>
              </w:rPr>
              <w:t xml:space="preserve">(2) Residieron, habitaron o asistieron a la escuela o trabajaron en Flint, o estuvieron </w:t>
            </w:r>
            <w:r>
              <w:rPr>
                <w:sz w:val="24"/>
                <w:szCs w:val="24"/>
              </w:rPr>
              <w:lastRenderedPageBreak/>
              <w:t xml:space="preserve">expuestas de alguna forma al agua de Flint; </w:t>
            </w:r>
            <w:r>
              <w:rPr>
                <w:b/>
                <w:sz w:val="24"/>
                <w:szCs w:val="24"/>
                <w:u w:val="single"/>
              </w:rPr>
              <w:t>y</w:t>
            </w:r>
          </w:p>
          <w:p w14:paraId="249E2053" w14:textId="77777777" w:rsidR="00E54CE6" w:rsidRPr="00E532F9" w:rsidRDefault="00E54CE6">
            <w:pPr>
              <w:jc w:val="both"/>
              <w:rPr>
                <w:rFonts w:eastAsia="Calibri" w:cs="Times New Roman"/>
                <w:sz w:val="24"/>
                <w:szCs w:val="24"/>
              </w:rPr>
            </w:pPr>
          </w:p>
          <w:p w14:paraId="614AC43A" w14:textId="77777777" w:rsidR="00E54CE6" w:rsidRPr="00E532F9" w:rsidRDefault="0016202A">
            <w:pPr>
              <w:jc w:val="both"/>
              <w:rPr>
                <w:rFonts w:eastAsia="Calibri" w:cs="Times New Roman"/>
                <w:sz w:val="24"/>
                <w:szCs w:val="24"/>
              </w:rPr>
            </w:pPr>
            <w:r>
              <w:rPr>
                <w:sz w:val="24"/>
                <w:szCs w:val="24"/>
              </w:rPr>
              <w:t xml:space="preserve">(3) Obtuvieron un resultado de o entre 5.0 y 9.9 </w:t>
            </w:r>
            <w:proofErr w:type="spellStart"/>
            <w:r>
              <w:rPr>
                <w:sz w:val="24"/>
                <w:szCs w:val="24"/>
              </w:rPr>
              <w:t>mcg</w:t>
            </w:r>
            <w:proofErr w:type="spellEnd"/>
            <w:r>
              <w:rPr>
                <w:sz w:val="24"/>
                <w:szCs w:val="24"/>
              </w:rPr>
              <w:t>/</w:t>
            </w:r>
            <w:proofErr w:type="spellStart"/>
            <w:r>
              <w:rPr>
                <w:sz w:val="24"/>
                <w:szCs w:val="24"/>
              </w:rPr>
              <w:t>dL</w:t>
            </w:r>
            <w:proofErr w:type="spellEnd"/>
            <w:r>
              <w:rPr>
                <w:sz w:val="24"/>
                <w:szCs w:val="24"/>
              </w:rPr>
              <w:t xml:space="preserve"> en una prueba de nivel de plomo en la sangre realizada entre el 16 de mayo de 2014 y el 31 de agosto de 2016; </w:t>
            </w:r>
            <w:r>
              <w:rPr>
                <w:b/>
                <w:sz w:val="24"/>
                <w:szCs w:val="24"/>
                <w:u w:val="single"/>
              </w:rPr>
              <w:t xml:space="preserve">o </w:t>
            </w:r>
            <w:r>
              <w:rPr>
                <w:sz w:val="24"/>
                <w:szCs w:val="24"/>
              </w:rPr>
              <w:t xml:space="preserve">un resultado de o entre 5.0 y 9.9 </w:t>
            </w:r>
            <w:proofErr w:type="spellStart"/>
            <w:r>
              <w:rPr>
                <w:sz w:val="24"/>
                <w:szCs w:val="24"/>
              </w:rPr>
              <w:t>ug</w:t>
            </w:r>
            <w:proofErr w:type="spellEnd"/>
            <w:r>
              <w:rPr>
                <w:sz w:val="24"/>
                <w:szCs w:val="24"/>
              </w:rPr>
              <w:t>/G en la prueba de cuantificación de plomo in vivo en los huesos de una persona realizada entre el 16 de mayo de 2014 y los 90 días posteriores a la fecha de la Orden de Aprobación Preliminar.</w:t>
            </w:r>
          </w:p>
          <w:p w14:paraId="0C56C821" w14:textId="77777777" w:rsidR="00E54CE6" w:rsidRPr="00E532F9" w:rsidRDefault="00E54CE6">
            <w:pPr>
              <w:rPr>
                <w:rFonts w:eastAsia="Calibri" w:cs="Times New Roman"/>
              </w:rPr>
            </w:pPr>
          </w:p>
        </w:tc>
        <w:tc>
          <w:tcPr>
            <w:tcW w:w="4317" w:type="dxa"/>
          </w:tcPr>
          <w:p w14:paraId="78485268" w14:textId="77777777" w:rsidR="00E54CE6" w:rsidRPr="00E532F9" w:rsidRDefault="0016202A">
            <w:pPr>
              <w:jc w:val="center"/>
              <w:rPr>
                <w:rFonts w:eastAsia="Calibri" w:cs="Times New Roman"/>
                <w:b/>
                <w:color w:val="0070C0"/>
                <w:sz w:val="24"/>
                <w:szCs w:val="24"/>
              </w:rPr>
            </w:pPr>
            <w:r>
              <w:rPr>
                <w:b/>
                <w:color w:val="0D0D0D"/>
                <w:sz w:val="24"/>
                <w:szCs w:val="24"/>
                <w:u w:val="single"/>
              </w:rPr>
              <w:lastRenderedPageBreak/>
              <w:t>Prestaciones Pecuniarias</w:t>
            </w:r>
          </w:p>
          <w:p w14:paraId="098E575F" w14:textId="77777777" w:rsidR="00E54CE6" w:rsidRPr="00E532F9" w:rsidRDefault="00E54CE6">
            <w:pPr>
              <w:jc w:val="center"/>
              <w:rPr>
                <w:rFonts w:eastAsia="Calibri" w:cs="Times New Roman"/>
                <w:b/>
                <w:color w:val="0070C0"/>
                <w:sz w:val="24"/>
                <w:szCs w:val="24"/>
              </w:rPr>
            </w:pPr>
          </w:p>
          <w:p w14:paraId="34BA8718" w14:textId="77777777" w:rsidR="00E54CE6" w:rsidRPr="00E532F9" w:rsidRDefault="0016202A">
            <w:pPr>
              <w:jc w:val="center"/>
              <w:rPr>
                <w:rFonts w:eastAsia="Calibri" w:cs="Times New Roman"/>
                <w:b/>
                <w:color w:val="0070C0"/>
                <w:sz w:val="24"/>
                <w:szCs w:val="24"/>
              </w:rPr>
            </w:pPr>
            <w:r>
              <w:rPr>
                <w:b/>
                <w:color w:val="0070C0"/>
                <w:sz w:val="24"/>
                <w:szCs w:val="24"/>
              </w:rPr>
              <w:t>1.5z</w:t>
            </w:r>
          </w:p>
          <w:p w14:paraId="72DD644E" w14:textId="77777777" w:rsidR="00E54CE6" w:rsidRPr="00E532F9" w:rsidRDefault="00E54CE6">
            <w:pPr>
              <w:rPr>
                <w:rFonts w:eastAsia="Calibri" w:cs="Times New Roman"/>
              </w:rPr>
            </w:pPr>
          </w:p>
        </w:tc>
        <w:tc>
          <w:tcPr>
            <w:tcW w:w="4317" w:type="dxa"/>
          </w:tcPr>
          <w:p w14:paraId="325DF434" w14:textId="77777777" w:rsidR="00E54CE6" w:rsidRPr="00E532F9" w:rsidRDefault="0016202A">
            <w:pPr>
              <w:jc w:val="center"/>
              <w:rPr>
                <w:rFonts w:eastAsia="Calibri" w:cs="Times New Roman"/>
                <w:sz w:val="24"/>
                <w:szCs w:val="24"/>
                <w:u w:val="single"/>
              </w:rPr>
            </w:pPr>
            <w:r>
              <w:rPr>
                <w:b/>
                <w:color w:val="0D0D0D"/>
                <w:sz w:val="24"/>
                <w:szCs w:val="24"/>
                <w:u w:val="single"/>
              </w:rPr>
              <w:t>Pruebas Exigidas</w:t>
            </w:r>
          </w:p>
          <w:p w14:paraId="596E5012" w14:textId="77777777" w:rsidR="00E54CE6" w:rsidRPr="00E532F9" w:rsidRDefault="00E54CE6">
            <w:pPr>
              <w:jc w:val="both"/>
              <w:rPr>
                <w:rFonts w:eastAsia="Calibri" w:cs="Times New Roman"/>
                <w:sz w:val="24"/>
                <w:szCs w:val="24"/>
                <w:u w:val="single"/>
              </w:rPr>
            </w:pPr>
          </w:p>
          <w:p w14:paraId="7802B2EE" w14:textId="77777777" w:rsidR="00E54CE6" w:rsidRPr="00E532F9" w:rsidRDefault="0016202A">
            <w:pPr>
              <w:jc w:val="both"/>
              <w:rPr>
                <w:rFonts w:eastAsia="Calibri" w:cs="Times New Roman"/>
              </w:rPr>
            </w:pPr>
            <w:r>
              <w:rPr>
                <w:sz w:val="24"/>
                <w:szCs w:val="24"/>
                <w:u w:val="single"/>
              </w:rPr>
              <w:t>Pruebas en la sangre o en los huesos</w:t>
            </w:r>
            <w:r>
              <w:rPr>
                <w:sz w:val="24"/>
                <w:szCs w:val="24"/>
              </w:rPr>
              <w:t>: tal como se describe en las pruebas exigidas para la Categoría 1.</w:t>
            </w:r>
          </w:p>
        </w:tc>
      </w:tr>
      <w:tr w:rsidR="00E54CE6" w:rsidRPr="00E532F9" w14:paraId="4B8EE394" w14:textId="77777777">
        <w:tc>
          <w:tcPr>
            <w:tcW w:w="12950" w:type="dxa"/>
            <w:gridSpan w:val="3"/>
            <w:shd w:val="clear" w:color="auto" w:fill="B4C6E7"/>
          </w:tcPr>
          <w:p w14:paraId="377E7333" w14:textId="77777777" w:rsidR="00E54CE6" w:rsidRPr="00E532F9" w:rsidRDefault="00E54CE6">
            <w:pPr>
              <w:jc w:val="center"/>
              <w:rPr>
                <w:rFonts w:eastAsia="Calibri" w:cs="Times New Roman"/>
                <w:b/>
                <w:sz w:val="24"/>
                <w:szCs w:val="24"/>
                <w:u w:val="single"/>
              </w:rPr>
            </w:pPr>
          </w:p>
          <w:p w14:paraId="09163E67" w14:textId="77777777" w:rsidR="00E54CE6" w:rsidRPr="00E532F9" w:rsidRDefault="0016202A">
            <w:pPr>
              <w:jc w:val="center"/>
              <w:rPr>
                <w:rFonts w:eastAsia="Calibri" w:cs="Times New Roman"/>
                <w:b/>
                <w:caps/>
                <w:sz w:val="24"/>
                <w:szCs w:val="24"/>
                <w:u w:val="single"/>
              </w:rPr>
            </w:pPr>
            <w:r>
              <w:rPr>
                <w:b/>
                <w:caps/>
                <w:sz w:val="24"/>
                <w:szCs w:val="24"/>
                <w:u w:val="single"/>
              </w:rPr>
              <w:t>Categoría 17</w:t>
            </w:r>
          </w:p>
          <w:p w14:paraId="3564A4D9" w14:textId="77777777" w:rsidR="00E54CE6" w:rsidRPr="00E532F9" w:rsidRDefault="0016202A">
            <w:pPr>
              <w:autoSpaceDE w:val="0"/>
              <w:autoSpaceDN w:val="0"/>
              <w:adjustRightInd w:val="0"/>
              <w:contextualSpacing/>
              <w:jc w:val="center"/>
              <w:rPr>
                <w:rFonts w:eastAsia="Calibri" w:cs="Times New Roman"/>
                <w:sz w:val="24"/>
                <w:szCs w:val="24"/>
              </w:rPr>
            </w:pPr>
            <w:r>
              <w:rPr>
                <w:sz w:val="24"/>
                <w:szCs w:val="24"/>
                <w:u w:val="single"/>
              </w:rPr>
              <w:t>Adolescente, entre 12 y 17 años</w:t>
            </w:r>
            <w:r>
              <w:rPr>
                <w:sz w:val="24"/>
                <w:szCs w:val="24"/>
              </w:rPr>
              <w:t>, nivel de plomo o déficit cognitivo.</w:t>
            </w:r>
          </w:p>
          <w:p w14:paraId="7114F1D8" w14:textId="77777777" w:rsidR="00E54CE6" w:rsidRPr="00E532F9" w:rsidRDefault="00E54CE6">
            <w:pPr>
              <w:autoSpaceDE w:val="0"/>
              <w:autoSpaceDN w:val="0"/>
              <w:adjustRightInd w:val="0"/>
              <w:contextualSpacing/>
              <w:jc w:val="center"/>
              <w:rPr>
                <w:rFonts w:eastAsia="Calibri" w:cs="Times New Roman"/>
                <w:b/>
                <w:sz w:val="24"/>
                <w:szCs w:val="24"/>
                <w:u w:val="single"/>
              </w:rPr>
            </w:pPr>
          </w:p>
        </w:tc>
      </w:tr>
      <w:tr w:rsidR="00E54CE6" w:rsidRPr="00E532F9" w14:paraId="4E54CE8F" w14:textId="77777777">
        <w:tc>
          <w:tcPr>
            <w:tcW w:w="4316" w:type="dxa"/>
          </w:tcPr>
          <w:p w14:paraId="43BD8533" w14:textId="77777777" w:rsidR="00E54CE6" w:rsidRPr="00E532F9" w:rsidRDefault="0016202A">
            <w:pPr>
              <w:jc w:val="center"/>
              <w:rPr>
                <w:rFonts w:eastAsia="Calibri" w:cs="Times New Roman"/>
                <w:b/>
                <w:sz w:val="24"/>
                <w:szCs w:val="24"/>
                <w:u w:val="single"/>
              </w:rPr>
            </w:pPr>
            <w:r>
              <w:rPr>
                <w:b/>
                <w:sz w:val="24"/>
                <w:szCs w:val="24"/>
                <w:u w:val="single"/>
              </w:rPr>
              <w:t>Descripción de la Categoría</w:t>
            </w:r>
          </w:p>
          <w:p w14:paraId="58ABC699" w14:textId="77777777" w:rsidR="00E54CE6" w:rsidRPr="00E532F9" w:rsidRDefault="00E54CE6">
            <w:pPr>
              <w:jc w:val="both"/>
              <w:rPr>
                <w:rFonts w:eastAsia="Calibri" w:cs="Times New Roman"/>
                <w:b/>
                <w:sz w:val="24"/>
                <w:szCs w:val="24"/>
                <w:u w:val="single"/>
              </w:rPr>
            </w:pPr>
          </w:p>
          <w:p w14:paraId="50EEC9F3" w14:textId="77777777" w:rsidR="00E54CE6" w:rsidRPr="00E532F9" w:rsidRDefault="0016202A">
            <w:pPr>
              <w:jc w:val="both"/>
              <w:rPr>
                <w:rFonts w:eastAsia="Calibri" w:cs="Times New Roman"/>
                <w:b/>
                <w:sz w:val="24"/>
                <w:szCs w:val="24"/>
                <w:u w:val="single"/>
              </w:rPr>
            </w:pPr>
            <w:r>
              <w:rPr>
                <w:b/>
                <w:sz w:val="24"/>
                <w:szCs w:val="24"/>
                <w:u w:val="single"/>
              </w:rPr>
              <w:t>Nivel de Plomo</w:t>
            </w:r>
          </w:p>
          <w:p w14:paraId="73C65E78" w14:textId="77777777" w:rsidR="00E54CE6" w:rsidRPr="00E532F9" w:rsidRDefault="0016202A">
            <w:pPr>
              <w:jc w:val="both"/>
              <w:rPr>
                <w:rFonts w:eastAsia="Calibri" w:cs="Times New Roman"/>
                <w:sz w:val="24"/>
                <w:szCs w:val="24"/>
              </w:rPr>
            </w:pPr>
            <w:r>
              <w:rPr>
                <w:iCs/>
                <w:sz w:val="24"/>
                <w:szCs w:val="24"/>
              </w:rPr>
              <w:t>Personas entre 12 y 17 años en el momento de la primera exposición quienes</w:t>
            </w:r>
            <w:r>
              <w:rPr>
                <w:sz w:val="24"/>
                <w:szCs w:val="24"/>
              </w:rPr>
              <w:t>:</w:t>
            </w:r>
          </w:p>
          <w:p w14:paraId="1C2310B7" w14:textId="77777777" w:rsidR="00E54CE6" w:rsidRPr="00E532F9" w:rsidRDefault="00E54CE6">
            <w:pPr>
              <w:jc w:val="both"/>
              <w:rPr>
                <w:rFonts w:eastAsia="Calibri" w:cs="Times New Roman"/>
                <w:sz w:val="24"/>
                <w:szCs w:val="24"/>
              </w:rPr>
            </w:pPr>
          </w:p>
          <w:p w14:paraId="0844FE59" w14:textId="77777777" w:rsidR="00E54CE6" w:rsidRPr="00E532F9" w:rsidRDefault="0016202A">
            <w:pPr>
              <w:jc w:val="both"/>
              <w:rPr>
                <w:rFonts w:eastAsia="Calibri" w:cs="Times New Roman"/>
                <w:sz w:val="24"/>
                <w:szCs w:val="24"/>
              </w:rPr>
            </w:pPr>
            <w:r>
              <w:rPr>
                <w:sz w:val="24"/>
                <w:szCs w:val="24"/>
              </w:rPr>
              <w:t>(1) Por al menos 21 días durante cualquier período de 30 días entre el 25 de abril de 2014 y el 31 de julio de 2016;</w:t>
            </w:r>
          </w:p>
          <w:p w14:paraId="59DE42D8" w14:textId="77777777" w:rsidR="00E54CE6" w:rsidRPr="00E532F9" w:rsidRDefault="00E54CE6">
            <w:pPr>
              <w:jc w:val="both"/>
              <w:rPr>
                <w:rFonts w:eastAsia="Calibri" w:cs="Times New Roman"/>
                <w:sz w:val="24"/>
                <w:szCs w:val="24"/>
              </w:rPr>
            </w:pPr>
          </w:p>
          <w:p w14:paraId="3EB7403F" w14:textId="77777777" w:rsidR="00E54CE6" w:rsidRPr="00E532F9" w:rsidRDefault="0016202A">
            <w:pPr>
              <w:jc w:val="both"/>
              <w:rPr>
                <w:rFonts w:eastAsia="Calibri" w:cs="Times New Roman"/>
                <w:b/>
                <w:sz w:val="24"/>
                <w:szCs w:val="24"/>
                <w:u w:val="single"/>
              </w:rPr>
            </w:pPr>
            <w:r>
              <w:rPr>
                <w:sz w:val="24"/>
                <w:szCs w:val="24"/>
              </w:rPr>
              <w:t xml:space="preserve">(2) Residieron, habitaron o asistieron a la escuela o trabajaron en Flint, o estuvieron expuestas de alguna forma al agua de Flint; </w:t>
            </w:r>
            <w:r>
              <w:rPr>
                <w:b/>
                <w:sz w:val="24"/>
                <w:szCs w:val="24"/>
                <w:u w:val="single"/>
              </w:rPr>
              <w:t>y</w:t>
            </w:r>
          </w:p>
          <w:p w14:paraId="17287A52" w14:textId="77777777" w:rsidR="00E54CE6" w:rsidRPr="00E532F9" w:rsidRDefault="00E54CE6">
            <w:pPr>
              <w:jc w:val="both"/>
              <w:rPr>
                <w:rFonts w:eastAsia="Calibri" w:cs="Times New Roman"/>
                <w:sz w:val="24"/>
                <w:szCs w:val="24"/>
              </w:rPr>
            </w:pPr>
          </w:p>
          <w:p w14:paraId="06E94F91" w14:textId="77777777" w:rsidR="00E54CE6" w:rsidRPr="00E532F9" w:rsidRDefault="0016202A">
            <w:pPr>
              <w:jc w:val="both"/>
              <w:rPr>
                <w:rFonts w:eastAsia="Calibri" w:cs="Times New Roman"/>
                <w:sz w:val="24"/>
                <w:szCs w:val="24"/>
              </w:rPr>
            </w:pPr>
            <w:r>
              <w:rPr>
                <w:sz w:val="24"/>
                <w:szCs w:val="24"/>
              </w:rPr>
              <w:lastRenderedPageBreak/>
              <w:t xml:space="preserve">(3) Obtuvieron un resultado de o entre 3.0 y 4.9 </w:t>
            </w:r>
            <w:proofErr w:type="spellStart"/>
            <w:r>
              <w:rPr>
                <w:sz w:val="24"/>
                <w:szCs w:val="24"/>
              </w:rPr>
              <w:t>mcg</w:t>
            </w:r>
            <w:proofErr w:type="spellEnd"/>
            <w:r>
              <w:rPr>
                <w:sz w:val="24"/>
                <w:szCs w:val="24"/>
              </w:rPr>
              <w:t>/</w:t>
            </w:r>
            <w:proofErr w:type="spellStart"/>
            <w:r>
              <w:rPr>
                <w:sz w:val="24"/>
                <w:szCs w:val="24"/>
              </w:rPr>
              <w:t>dL</w:t>
            </w:r>
            <w:proofErr w:type="spellEnd"/>
            <w:r>
              <w:rPr>
                <w:sz w:val="24"/>
                <w:szCs w:val="24"/>
              </w:rPr>
              <w:t xml:space="preserve"> en una prueba de nivel de plomo en la sangre realizada entre el 16 de mayo de 2014 y el 31 de agosto de 2016; </w:t>
            </w:r>
            <w:r>
              <w:rPr>
                <w:b/>
                <w:sz w:val="24"/>
                <w:szCs w:val="24"/>
                <w:u w:val="single"/>
              </w:rPr>
              <w:t xml:space="preserve">o </w:t>
            </w:r>
            <w:r>
              <w:rPr>
                <w:sz w:val="24"/>
                <w:szCs w:val="24"/>
              </w:rPr>
              <w:t xml:space="preserve">un resultado de o entre 3.0 y 4.9 </w:t>
            </w:r>
            <w:proofErr w:type="spellStart"/>
            <w:r>
              <w:rPr>
                <w:sz w:val="24"/>
                <w:szCs w:val="24"/>
              </w:rPr>
              <w:t>ug</w:t>
            </w:r>
            <w:proofErr w:type="spellEnd"/>
            <w:r>
              <w:rPr>
                <w:sz w:val="24"/>
                <w:szCs w:val="24"/>
              </w:rPr>
              <w:t>/G en la prueba de cuantificación de plomo in vivo en los huesos de una persona realizada entre el 16 de mayo de 2014 y los 90 días posteriores a la fecha de la Orden de Aprobación Preliminar.</w:t>
            </w:r>
          </w:p>
          <w:p w14:paraId="3F9E34DC" w14:textId="77777777" w:rsidR="00E54CE6" w:rsidRPr="00E532F9" w:rsidRDefault="00E54CE6">
            <w:pPr>
              <w:jc w:val="both"/>
              <w:rPr>
                <w:rFonts w:eastAsia="Calibri" w:cs="Times New Roman"/>
                <w:sz w:val="24"/>
                <w:szCs w:val="24"/>
              </w:rPr>
            </w:pPr>
          </w:p>
          <w:p w14:paraId="335EA4D4" w14:textId="77777777" w:rsidR="00E54CE6" w:rsidRPr="00E532F9" w:rsidRDefault="0016202A">
            <w:pPr>
              <w:jc w:val="both"/>
              <w:rPr>
                <w:rFonts w:eastAsia="Calibri" w:cs="Times New Roman"/>
                <w:sz w:val="24"/>
                <w:szCs w:val="24"/>
              </w:rPr>
            </w:pPr>
            <w:r>
              <w:rPr>
                <w:b/>
                <w:sz w:val="24"/>
                <w:szCs w:val="24"/>
                <w:u w:val="single"/>
              </w:rPr>
              <w:t>O</w:t>
            </w:r>
          </w:p>
          <w:p w14:paraId="50E628BD" w14:textId="77777777" w:rsidR="00E54CE6" w:rsidRPr="00E532F9" w:rsidRDefault="00E54CE6">
            <w:pPr>
              <w:jc w:val="both"/>
              <w:rPr>
                <w:rFonts w:eastAsia="Calibri" w:cs="Times New Roman"/>
                <w:sz w:val="24"/>
                <w:szCs w:val="24"/>
              </w:rPr>
            </w:pPr>
          </w:p>
          <w:p w14:paraId="28B5BEB1" w14:textId="77777777" w:rsidR="00E54CE6" w:rsidRPr="00E532F9" w:rsidRDefault="0016202A">
            <w:pPr>
              <w:jc w:val="both"/>
              <w:rPr>
                <w:rFonts w:eastAsia="Calibri" w:cs="Times New Roman"/>
                <w:b/>
                <w:sz w:val="24"/>
                <w:szCs w:val="24"/>
                <w:u w:val="single"/>
              </w:rPr>
            </w:pPr>
            <w:bookmarkStart w:id="0" w:name="_Hlk80190894"/>
            <w:r>
              <w:rPr>
                <w:b/>
                <w:sz w:val="24"/>
                <w:szCs w:val="24"/>
                <w:u w:val="single"/>
              </w:rPr>
              <w:t>Déficit cognitivo:</w:t>
            </w:r>
          </w:p>
          <w:p w14:paraId="5F615295" w14:textId="77777777" w:rsidR="00E54CE6" w:rsidRPr="00E532F9" w:rsidRDefault="0016202A">
            <w:pPr>
              <w:jc w:val="both"/>
              <w:rPr>
                <w:rFonts w:eastAsia="Calibri" w:cs="Times New Roman"/>
                <w:sz w:val="24"/>
                <w:szCs w:val="24"/>
              </w:rPr>
            </w:pPr>
            <w:r>
              <w:rPr>
                <w:sz w:val="24"/>
                <w:szCs w:val="24"/>
              </w:rPr>
              <w:t>Personas entre 12 y 17 años en el momento de la primera exposición quienes:</w:t>
            </w:r>
          </w:p>
          <w:p w14:paraId="33AA0681" w14:textId="77777777" w:rsidR="00E54CE6" w:rsidRPr="00E532F9" w:rsidRDefault="00E54CE6">
            <w:pPr>
              <w:jc w:val="both"/>
              <w:rPr>
                <w:rFonts w:eastAsia="Calibri" w:cs="Times New Roman"/>
                <w:sz w:val="24"/>
                <w:szCs w:val="24"/>
              </w:rPr>
            </w:pPr>
          </w:p>
          <w:p w14:paraId="1CC85DAE" w14:textId="77777777" w:rsidR="00E54CE6" w:rsidRPr="00E532F9" w:rsidRDefault="0016202A">
            <w:pPr>
              <w:jc w:val="both"/>
              <w:rPr>
                <w:rFonts w:eastAsia="Calibri" w:cs="Times New Roman"/>
                <w:sz w:val="24"/>
                <w:szCs w:val="24"/>
              </w:rPr>
            </w:pPr>
            <w:r>
              <w:rPr>
                <w:sz w:val="24"/>
                <w:szCs w:val="24"/>
              </w:rPr>
              <w:t>(1) Por al menos 21 días durante cualquier período de 30 días entre el 25 de abril de 2014 y el 31 de julio de 2016;</w:t>
            </w:r>
          </w:p>
          <w:p w14:paraId="4DBE9561" w14:textId="77777777" w:rsidR="00E54CE6" w:rsidRPr="00E532F9" w:rsidRDefault="00E54CE6">
            <w:pPr>
              <w:jc w:val="both"/>
              <w:rPr>
                <w:rFonts w:eastAsia="Calibri" w:cs="Times New Roman"/>
                <w:sz w:val="24"/>
                <w:szCs w:val="24"/>
              </w:rPr>
            </w:pPr>
          </w:p>
          <w:p w14:paraId="23759AC8" w14:textId="77777777" w:rsidR="00E54CE6" w:rsidRPr="00E532F9" w:rsidRDefault="0016202A">
            <w:pPr>
              <w:jc w:val="both"/>
              <w:rPr>
                <w:rFonts w:eastAsia="Calibri" w:cs="Times New Roman"/>
                <w:b/>
                <w:sz w:val="24"/>
                <w:szCs w:val="24"/>
                <w:u w:val="single"/>
              </w:rPr>
            </w:pPr>
            <w:r>
              <w:rPr>
                <w:sz w:val="24"/>
                <w:szCs w:val="24"/>
              </w:rPr>
              <w:t xml:space="preserve">(2) Residieron, habitaron o asistieron a escuelas o guarderías de Flint, o estuvieron expuestas de alguna forma al agua de Flint; </w:t>
            </w:r>
            <w:r>
              <w:rPr>
                <w:b/>
                <w:sz w:val="24"/>
                <w:szCs w:val="24"/>
                <w:u w:val="single"/>
              </w:rPr>
              <w:t>y</w:t>
            </w:r>
          </w:p>
          <w:p w14:paraId="71BFBDC0" w14:textId="77777777" w:rsidR="00E54CE6" w:rsidRPr="00E532F9" w:rsidRDefault="00E54CE6">
            <w:pPr>
              <w:jc w:val="both"/>
              <w:rPr>
                <w:rFonts w:eastAsia="Calibri" w:cs="Times New Roman"/>
                <w:sz w:val="24"/>
                <w:szCs w:val="24"/>
              </w:rPr>
            </w:pPr>
          </w:p>
          <w:p w14:paraId="63DF5972" w14:textId="77777777" w:rsidR="00E54CE6" w:rsidRPr="00E532F9" w:rsidRDefault="0016202A">
            <w:pPr>
              <w:rPr>
                <w:rFonts w:eastAsia="Calibri" w:cs="Times New Roman"/>
                <w:sz w:val="24"/>
                <w:szCs w:val="24"/>
              </w:rPr>
            </w:pPr>
            <w:r>
              <w:rPr>
                <w:sz w:val="24"/>
                <w:szCs w:val="24"/>
              </w:rPr>
              <w:t xml:space="preserve">(3) Cuentan con un informe que documenta la realización de una evaluación completa e individual con fecha posterior al 16 de mayo de 2014 a cargo de un equipo multidisciplinario de evaluación, el cual deberá incluir un pediatra y un neuropsicólogo certificados </w:t>
            </w:r>
            <w:r>
              <w:rPr>
                <w:sz w:val="24"/>
                <w:szCs w:val="24"/>
              </w:rPr>
              <w:lastRenderedPageBreak/>
              <w:t>por las juntas médicas correspondientes. Dicho informe se sustenta en una batería de pruebas clínicas y científicamente validadas de evaluación neurocognitiva o neuropsicológica, incluida la Batería Automatizada de Pruebas Neuropsicológicas de Cambridge (“CANTAB”, por sus siglas en inglés), que determinan que la persona tiene una discapacidad cognitiva relacionada con el plomo, causada después del 16 de mayo de 2014 y que se define como: Discapacidad cognitiva manifestada durante el período de desarrollo de la persona de 12 a 17 años, expuesta al agua de Flint durante dicho período, tal como se determina a través de las pruebas y la demostración de las siguientes características de comportamiento: Una (i) tasa de desarrollo de desviaciones estándar de 1.0 o más por debajo de la media, según se determine a través de una evaluación del dominio de funcionamiento intelectual o (</w:t>
            </w:r>
            <w:proofErr w:type="spellStart"/>
            <w:r>
              <w:rPr>
                <w:sz w:val="24"/>
                <w:szCs w:val="24"/>
              </w:rPr>
              <w:t>ii</w:t>
            </w:r>
            <w:proofErr w:type="spellEnd"/>
            <w:r>
              <w:rPr>
                <w:sz w:val="24"/>
                <w:szCs w:val="24"/>
              </w:rPr>
              <w:t xml:space="preserve">) puntuaciones aproximadamente dentro de los seis percentiles más bajos de una prueba estandarizada de lectura y aritmética (este requisito no se exigirá si la persona no tiene una edad, un grado o edad mental adecuados para la realización de pruebas formales o estandarizadas).  O bien, una demostración de cualquiera de las dos siguientes características de </w:t>
            </w:r>
            <w:r>
              <w:rPr>
                <w:sz w:val="24"/>
                <w:szCs w:val="24"/>
              </w:rPr>
              <w:lastRenderedPageBreak/>
              <w:t>comportamiento: (</w:t>
            </w:r>
            <w:proofErr w:type="spellStart"/>
            <w:r>
              <w:rPr>
                <w:sz w:val="24"/>
                <w:szCs w:val="24"/>
              </w:rPr>
              <w:t>iii</w:t>
            </w:r>
            <w:proofErr w:type="spellEnd"/>
            <w:r>
              <w:rPr>
                <w:sz w:val="24"/>
                <w:szCs w:val="24"/>
              </w:rPr>
              <w:t>) falta de desarrollo normalmente aceptado principalmente en el dominio cognitivo; (</w:t>
            </w:r>
            <w:proofErr w:type="spellStart"/>
            <w:r>
              <w:rPr>
                <w:sz w:val="24"/>
                <w:szCs w:val="24"/>
              </w:rPr>
              <w:t>iv</w:t>
            </w:r>
            <w:proofErr w:type="spellEnd"/>
            <w:r>
              <w:rPr>
                <w:sz w:val="24"/>
                <w:szCs w:val="24"/>
              </w:rPr>
              <w:t xml:space="preserve">) discapacidad de la conducta adaptativa y (v) discapacidad que afecta negativamente el rendimiento académico de una persona.  El informe que determina que la persona tiene una discapacidad cognitiva debe contar con la firma y verificación de un médico (PhD y/o M.D.) especialista calificado donde conste que dicho informe es fidedigno y exacto.  La Batería Automatizada de Pruebas Neuropsicológicas de Cambridge mencionada anteriormente deberá incluir conclusiones cognitivas de la Prueba del Tiempo de Reacción (RTI), la Prueba del </w:t>
            </w:r>
            <w:proofErr w:type="spellStart"/>
            <w:r>
              <w:rPr>
                <w:i/>
                <w:iCs/>
                <w:sz w:val="24"/>
                <w:szCs w:val="24"/>
              </w:rPr>
              <w:t>Span</w:t>
            </w:r>
            <w:proofErr w:type="spellEnd"/>
            <w:r>
              <w:rPr>
                <w:sz w:val="24"/>
                <w:szCs w:val="24"/>
              </w:rPr>
              <w:t xml:space="preserve"> de Memoria Espacial (SSP), la Prueba </w:t>
            </w:r>
            <w:proofErr w:type="spellStart"/>
            <w:r>
              <w:rPr>
                <w:i/>
                <w:iCs/>
                <w:sz w:val="24"/>
                <w:szCs w:val="24"/>
              </w:rPr>
              <w:t>Stockings</w:t>
            </w:r>
            <w:proofErr w:type="spellEnd"/>
            <w:r>
              <w:rPr>
                <w:i/>
                <w:iCs/>
                <w:sz w:val="24"/>
                <w:szCs w:val="24"/>
              </w:rPr>
              <w:t xml:space="preserve"> of Cambridge</w:t>
            </w:r>
            <w:r>
              <w:rPr>
                <w:sz w:val="24"/>
                <w:szCs w:val="24"/>
              </w:rPr>
              <w:t xml:space="preserve"> (SOC) de resolución de problemas y la Prueba de Cambio Dimensional (IED) de control de la atención.  </w:t>
            </w:r>
          </w:p>
          <w:bookmarkEnd w:id="0"/>
          <w:p w14:paraId="0A775D6F" w14:textId="77777777" w:rsidR="00E54CE6" w:rsidRPr="00E532F9" w:rsidRDefault="00E54CE6">
            <w:pPr>
              <w:jc w:val="both"/>
              <w:rPr>
                <w:rFonts w:eastAsia="Calibri" w:cs="Times New Roman"/>
              </w:rPr>
            </w:pPr>
          </w:p>
        </w:tc>
        <w:tc>
          <w:tcPr>
            <w:tcW w:w="4317" w:type="dxa"/>
          </w:tcPr>
          <w:p w14:paraId="204817D5" w14:textId="77777777" w:rsidR="00E54CE6" w:rsidRPr="00E532F9" w:rsidRDefault="0016202A">
            <w:pPr>
              <w:jc w:val="center"/>
              <w:rPr>
                <w:rFonts w:eastAsia="Calibri" w:cs="Times New Roman"/>
                <w:b/>
                <w:color w:val="0070C0"/>
                <w:sz w:val="24"/>
                <w:szCs w:val="24"/>
              </w:rPr>
            </w:pPr>
            <w:r>
              <w:rPr>
                <w:b/>
                <w:color w:val="0D0D0D"/>
                <w:sz w:val="24"/>
                <w:szCs w:val="24"/>
                <w:u w:val="single"/>
              </w:rPr>
              <w:lastRenderedPageBreak/>
              <w:t>Prestaciones Pecuniarias</w:t>
            </w:r>
          </w:p>
          <w:p w14:paraId="08C71C2D" w14:textId="77777777" w:rsidR="00E54CE6" w:rsidRPr="00E532F9" w:rsidRDefault="00E54CE6">
            <w:pPr>
              <w:jc w:val="center"/>
              <w:rPr>
                <w:rFonts w:eastAsia="Calibri" w:cs="Times New Roman"/>
                <w:b/>
                <w:color w:val="0070C0"/>
                <w:sz w:val="24"/>
                <w:szCs w:val="24"/>
              </w:rPr>
            </w:pPr>
          </w:p>
          <w:p w14:paraId="59909CFF" w14:textId="77777777" w:rsidR="00E54CE6" w:rsidRPr="00E532F9" w:rsidRDefault="0016202A">
            <w:pPr>
              <w:jc w:val="center"/>
              <w:rPr>
                <w:rFonts w:eastAsia="Calibri" w:cs="Times New Roman"/>
                <w:b/>
                <w:color w:val="0070C0"/>
                <w:sz w:val="24"/>
                <w:szCs w:val="24"/>
              </w:rPr>
            </w:pPr>
            <w:r>
              <w:rPr>
                <w:b/>
                <w:color w:val="0070C0"/>
                <w:sz w:val="24"/>
                <w:szCs w:val="24"/>
              </w:rPr>
              <w:t>z</w:t>
            </w:r>
          </w:p>
          <w:p w14:paraId="1BE3DAC0" w14:textId="77777777" w:rsidR="00E54CE6" w:rsidRPr="00E532F9" w:rsidRDefault="00E54CE6">
            <w:pPr>
              <w:rPr>
                <w:rFonts w:eastAsia="Calibri" w:cs="Times New Roman"/>
              </w:rPr>
            </w:pPr>
          </w:p>
        </w:tc>
        <w:tc>
          <w:tcPr>
            <w:tcW w:w="4317" w:type="dxa"/>
          </w:tcPr>
          <w:p w14:paraId="0F4BB1BF" w14:textId="77777777" w:rsidR="00E54CE6" w:rsidRPr="00E532F9" w:rsidRDefault="0016202A">
            <w:pPr>
              <w:jc w:val="center"/>
              <w:rPr>
                <w:rFonts w:eastAsia="Calibri" w:cs="Times New Roman"/>
                <w:sz w:val="24"/>
                <w:szCs w:val="24"/>
                <w:u w:val="single"/>
              </w:rPr>
            </w:pPr>
            <w:r>
              <w:rPr>
                <w:b/>
                <w:color w:val="0D0D0D"/>
                <w:sz w:val="24"/>
                <w:szCs w:val="24"/>
                <w:u w:val="single"/>
              </w:rPr>
              <w:t>Pruebas Exigidas</w:t>
            </w:r>
          </w:p>
          <w:p w14:paraId="65EEB67D" w14:textId="77777777" w:rsidR="00E54CE6" w:rsidRPr="00E532F9" w:rsidRDefault="00E54CE6">
            <w:pPr>
              <w:jc w:val="both"/>
              <w:rPr>
                <w:rFonts w:eastAsia="Calibri" w:cs="Times New Roman"/>
                <w:sz w:val="24"/>
                <w:szCs w:val="24"/>
                <w:u w:val="single"/>
              </w:rPr>
            </w:pPr>
          </w:p>
          <w:p w14:paraId="11DBCBE7" w14:textId="77777777" w:rsidR="00E54CE6" w:rsidRPr="00E532F9" w:rsidRDefault="0016202A">
            <w:pPr>
              <w:jc w:val="both"/>
              <w:rPr>
                <w:rFonts w:eastAsia="Calibri" w:cs="Times New Roman"/>
                <w:sz w:val="24"/>
                <w:szCs w:val="24"/>
              </w:rPr>
            </w:pPr>
            <w:r>
              <w:rPr>
                <w:sz w:val="24"/>
                <w:szCs w:val="24"/>
                <w:u w:val="single"/>
              </w:rPr>
              <w:t>Pruebas en la sangre o en los huesos</w:t>
            </w:r>
            <w:r>
              <w:rPr>
                <w:sz w:val="24"/>
                <w:szCs w:val="24"/>
              </w:rPr>
              <w:t>: tal como se describe en las pruebas exigidas para la Categoría 1.</w:t>
            </w:r>
          </w:p>
          <w:p w14:paraId="382A2560" w14:textId="77777777" w:rsidR="00E54CE6" w:rsidRPr="00E532F9" w:rsidRDefault="00E54CE6">
            <w:pPr>
              <w:jc w:val="both"/>
              <w:rPr>
                <w:rFonts w:eastAsia="Calibri" w:cs="Times New Roman"/>
                <w:sz w:val="24"/>
                <w:szCs w:val="24"/>
              </w:rPr>
            </w:pPr>
          </w:p>
          <w:p w14:paraId="43E8A027" w14:textId="77777777" w:rsidR="00E54CE6" w:rsidRPr="00E532F9" w:rsidRDefault="0016202A">
            <w:pPr>
              <w:rPr>
                <w:rFonts w:eastAsia="Calibri" w:cs="Times New Roman"/>
              </w:rPr>
            </w:pPr>
            <w:r>
              <w:rPr>
                <w:sz w:val="24"/>
                <w:szCs w:val="24"/>
                <w:u w:val="single"/>
              </w:rPr>
              <w:t>Déficit cognitivo</w:t>
            </w:r>
            <w:r>
              <w:rPr>
                <w:sz w:val="24"/>
                <w:szCs w:val="24"/>
              </w:rPr>
              <w:t xml:space="preserve">: Informe exigido tal como se indica en la Descripción de la Categoría. </w:t>
            </w:r>
          </w:p>
        </w:tc>
      </w:tr>
      <w:tr w:rsidR="00E54CE6" w:rsidRPr="00E532F9" w14:paraId="6917D328" w14:textId="77777777">
        <w:tc>
          <w:tcPr>
            <w:tcW w:w="12950" w:type="dxa"/>
            <w:gridSpan w:val="3"/>
            <w:shd w:val="clear" w:color="auto" w:fill="B4C6E7"/>
          </w:tcPr>
          <w:p w14:paraId="26852E59" w14:textId="77777777" w:rsidR="00E54CE6" w:rsidRPr="00E532F9" w:rsidRDefault="00E54CE6">
            <w:pPr>
              <w:jc w:val="center"/>
              <w:rPr>
                <w:rFonts w:eastAsia="Calibri" w:cs="Times New Roman"/>
                <w:b/>
                <w:sz w:val="24"/>
                <w:szCs w:val="24"/>
                <w:u w:val="single"/>
              </w:rPr>
            </w:pPr>
          </w:p>
          <w:p w14:paraId="5E4FE379" w14:textId="77777777" w:rsidR="00E54CE6" w:rsidRPr="00E532F9" w:rsidRDefault="0016202A">
            <w:pPr>
              <w:jc w:val="center"/>
              <w:rPr>
                <w:rFonts w:eastAsia="Calibri" w:cs="Times New Roman"/>
                <w:b/>
                <w:caps/>
                <w:sz w:val="24"/>
                <w:szCs w:val="24"/>
                <w:u w:val="single"/>
              </w:rPr>
            </w:pPr>
            <w:r>
              <w:rPr>
                <w:b/>
                <w:caps/>
                <w:sz w:val="24"/>
                <w:szCs w:val="24"/>
                <w:u w:val="single"/>
              </w:rPr>
              <w:t>Categoría 18</w:t>
            </w:r>
          </w:p>
          <w:p w14:paraId="39D67C50" w14:textId="77777777" w:rsidR="00E54CE6" w:rsidRPr="00E532F9" w:rsidRDefault="0016202A">
            <w:pPr>
              <w:autoSpaceDE w:val="0"/>
              <w:autoSpaceDN w:val="0"/>
              <w:adjustRightInd w:val="0"/>
              <w:contextualSpacing/>
              <w:jc w:val="center"/>
              <w:rPr>
                <w:rFonts w:eastAsia="Calibri" w:cs="Times New Roman"/>
                <w:b/>
                <w:sz w:val="24"/>
                <w:szCs w:val="24"/>
                <w:u w:val="single"/>
              </w:rPr>
            </w:pPr>
            <w:r>
              <w:rPr>
                <w:sz w:val="24"/>
                <w:szCs w:val="24"/>
                <w:u w:val="single"/>
              </w:rPr>
              <w:t>Adolescente, entre 12 y 17 años</w:t>
            </w:r>
            <w:r>
              <w:rPr>
                <w:sz w:val="24"/>
                <w:szCs w:val="24"/>
              </w:rPr>
              <w:t>, nivel de plomo</w:t>
            </w:r>
            <w:r>
              <w:rPr>
                <w:b/>
                <w:sz w:val="24"/>
                <w:szCs w:val="24"/>
                <w:u w:val="single"/>
              </w:rPr>
              <w:t xml:space="preserve"> </w:t>
            </w:r>
          </w:p>
          <w:p w14:paraId="746BDD5B" w14:textId="77777777" w:rsidR="00E54CE6" w:rsidRPr="00E532F9" w:rsidRDefault="00E54CE6">
            <w:pPr>
              <w:autoSpaceDE w:val="0"/>
              <w:autoSpaceDN w:val="0"/>
              <w:adjustRightInd w:val="0"/>
              <w:contextualSpacing/>
              <w:jc w:val="center"/>
              <w:rPr>
                <w:rFonts w:eastAsia="Calibri" w:cs="Times New Roman"/>
                <w:b/>
                <w:sz w:val="24"/>
                <w:szCs w:val="24"/>
                <w:u w:val="single"/>
              </w:rPr>
            </w:pPr>
          </w:p>
        </w:tc>
      </w:tr>
      <w:tr w:rsidR="00E54CE6" w:rsidRPr="00E532F9" w14:paraId="27422AAC" w14:textId="77777777">
        <w:tc>
          <w:tcPr>
            <w:tcW w:w="4316" w:type="dxa"/>
          </w:tcPr>
          <w:p w14:paraId="520CA356" w14:textId="77777777" w:rsidR="00E54CE6" w:rsidRPr="00E532F9" w:rsidRDefault="0016202A">
            <w:pPr>
              <w:jc w:val="center"/>
              <w:rPr>
                <w:rFonts w:eastAsia="Calibri" w:cs="Times New Roman"/>
                <w:b/>
                <w:sz w:val="24"/>
                <w:szCs w:val="24"/>
                <w:u w:val="single"/>
              </w:rPr>
            </w:pPr>
            <w:r>
              <w:rPr>
                <w:b/>
                <w:sz w:val="24"/>
                <w:szCs w:val="24"/>
                <w:u w:val="single"/>
              </w:rPr>
              <w:t>Descripción de la Categoría</w:t>
            </w:r>
          </w:p>
          <w:p w14:paraId="49E2F31B" w14:textId="77777777" w:rsidR="00E54CE6" w:rsidRPr="00E532F9" w:rsidRDefault="00E54CE6">
            <w:pPr>
              <w:jc w:val="both"/>
              <w:rPr>
                <w:rFonts w:eastAsia="Calibri" w:cs="Times New Roman"/>
                <w:b/>
                <w:sz w:val="24"/>
                <w:szCs w:val="24"/>
                <w:u w:val="single"/>
              </w:rPr>
            </w:pPr>
          </w:p>
          <w:p w14:paraId="22953CFC" w14:textId="77777777" w:rsidR="00E54CE6" w:rsidRPr="00E532F9" w:rsidRDefault="0016202A">
            <w:pPr>
              <w:jc w:val="both"/>
              <w:rPr>
                <w:rFonts w:eastAsia="Calibri" w:cs="Times New Roman"/>
                <w:b/>
                <w:sz w:val="24"/>
                <w:szCs w:val="24"/>
                <w:u w:val="single"/>
              </w:rPr>
            </w:pPr>
            <w:r>
              <w:rPr>
                <w:b/>
                <w:sz w:val="24"/>
                <w:szCs w:val="24"/>
                <w:u w:val="single"/>
              </w:rPr>
              <w:t>Nivel de Plomo</w:t>
            </w:r>
          </w:p>
          <w:p w14:paraId="525151C8" w14:textId="77777777" w:rsidR="00E54CE6" w:rsidRPr="00E532F9" w:rsidRDefault="0016202A">
            <w:pPr>
              <w:jc w:val="both"/>
              <w:rPr>
                <w:rFonts w:eastAsia="Calibri" w:cs="Times New Roman"/>
                <w:sz w:val="24"/>
                <w:szCs w:val="24"/>
              </w:rPr>
            </w:pPr>
            <w:r>
              <w:rPr>
                <w:iCs/>
                <w:sz w:val="24"/>
                <w:szCs w:val="24"/>
              </w:rPr>
              <w:t>Personas entre 12 y 17 años en el momento de la primera exposición quienes</w:t>
            </w:r>
            <w:r>
              <w:rPr>
                <w:sz w:val="24"/>
                <w:szCs w:val="24"/>
              </w:rPr>
              <w:t>:</w:t>
            </w:r>
          </w:p>
          <w:p w14:paraId="14BB5561" w14:textId="77777777" w:rsidR="00E54CE6" w:rsidRPr="00E532F9" w:rsidRDefault="00E54CE6">
            <w:pPr>
              <w:jc w:val="both"/>
              <w:rPr>
                <w:rFonts w:eastAsia="Calibri" w:cs="Times New Roman"/>
                <w:sz w:val="24"/>
                <w:szCs w:val="24"/>
              </w:rPr>
            </w:pPr>
          </w:p>
          <w:p w14:paraId="71C7170B" w14:textId="77777777" w:rsidR="00E54CE6" w:rsidRPr="00E532F9" w:rsidRDefault="0016202A">
            <w:pPr>
              <w:jc w:val="both"/>
              <w:rPr>
                <w:rFonts w:eastAsia="Calibri" w:cs="Times New Roman"/>
                <w:sz w:val="24"/>
                <w:szCs w:val="24"/>
              </w:rPr>
            </w:pPr>
            <w:r>
              <w:rPr>
                <w:sz w:val="24"/>
                <w:szCs w:val="24"/>
              </w:rPr>
              <w:lastRenderedPageBreak/>
              <w:t>(1) Por al menos 21 días durante cualquier período de 30 días entre el 25 de abril de 2014 y el 31 de julio de 2016;</w:t>
            </w:r>
          </w:p>
          <w:p w14:paraId="7DCBF2A9" w14:textId="77777777" w:rsidR="00E54CE6" w:rsidRPr="00E532F9" w:rsidRDefault="00E54CE6">
            <w:pPr>
              <w:jc w:val="both"/>
              <w:rPr>
                <w:rFonts w:eastAsia="Calibri" w:cs="Times New Roman"/>
                <w:sz w:val="24"/>
                <w:szCs w:val="24"/>
              </w:rPr>
            </w:pPr>
          </w:p>
          <w:p w14:paraId="14292C5E" w14:textId="77777777" w:rsidR="00E54CE6" w:rsidRPr="00E532F9" w:rsidRDefault="0016202A">
            <w:pPr>
              <w:jc w:val="both"/>
              <w:rPr>
                <w:rFonts w:eastAsia="Calibri" w:cs="Times New Roman"/>
                <w:b/>
                <w:sz w:val="24"/>
                <w:szCs w:val="24"/>
                <w:u w:val="single"/>
              </w:rPr>
            </w:pPr>
            <w:r>
              <w:rPr>
                <w:sz w:val="24"/>
                <w:szCs w:val="24"/>
              </w:rPr>
              <w:t xml:space="preserve">(2) Residieron, habitaron o asistieron a la escuela o trabajaron en Flint, o estuvieron expuestas de alguna forma al agua de Flint; </w:t>
            </w:r>
            <w:r>
              <w:rPr>
                <w:b/>
                <w:sz w:val="24"/>
                <w:szCs w:val="24"/>
                <w:u w:val="single"/>
              </w:rPr>
              <w:t>y</w:t>
            </w:r>
          </w:p>
          <w:p w14:paraId="0A97C614" w14:textId="77777777" w:rsidR="00E54CE6" w:rsidRPr="00E532F9" w:rsidRDefault="00E54CE6">
            <w:pPr>
              <w:jc w:val="both"/>
              <w:rPr>
                <w:rFonts w:eastAsia="Calibri" w:cs="Times New Roman"/>
                <w:sz w:val="24"/>
                <w:szCs w:val="24"/>
              </w:rPr>
            </w:pPr>
          </w:p>
          <w:p w14:paraId="7B969C04" w14:textId="77777777" w:rsidR="00E54CE6" w:rsidRPr="00E532F9" w:rsidRDefault="0016202A">
            <w:pPr>
              <w:rPr>
                <w:rFonts w:eastAsia="Calibri" w:cs="Times New Roman"/>
                <w:sz w:val="24"/>
                <w:szCs w:val="24"/>
              </w:rPr>
            </w:pPr>
            <w:r>
              <w:rPr>
                <w:sz w:val="24"/>
                <w:szCs w:val="24"/>
              </w:rPr>
              <w:t xml:space="preserve">(3) Obtuvieron un resultado de o entre 0.1 y 2.9 </w:t>
            </w:r>
            <w:proofErr w:type="spellStart"/>
            <w:r>
              <w:rPr>
                <w:sz w:val="24"/>
                <w:szCs w:val="24"/>
              </w:rPr>
              <w:t>mcg</w:t>
            </w:r>
            <w:proofErr w:type="spellEnd"/>
            <w:r>
              <w:rPr>
                <w:sz w:val="24"/>
                <w:szCs w:val="24"/>
              </w:rPr>
              <w:t>/</w:t>
            </w:r>
            <w:proofErr w:type="spellStart"/>
            <w:r>
              <w:rPr>
                <w:sz w:val="24"/>
                <w:szCs w:val="24"/>
              </w:rPr>
              <w:t>dL</w:t>
            </w:r>
            <w:proofErr w:type="spellEnd"/>
            <w:r>
              <w:rPr>
                <w:sz w:val="24"/>
                <w:szCs w:val="24"/>
              </w:rPr>
              <w:t xml:space="preserve"> en una prueba de nivel de plomo en la sangre realizada entre el 16 de mayo de 2014 y el 31 de agosto de 2016; </w:t>
            </w:r>
            <w:r>
              <w:rPr>
                <w:b/>
                <w:sz w:val="24"/>
                <w:szCs w:val="24"/>
                <w:u w:val="single"/>
              </w:rPr>
              <w:t xml:space="preserve">o </w:t>
            </w:r>
            <w:r>
              <w:rPr>
                <w:sz w:val="24"/>
                <w:szCs w:val="24"/>
              </w:rPr>
              <w:t xml:space="preserve">un resultado de o entre 0.1 y 2.9 </w:t>
            </w:r>
            <w:proofErr w:type="spellStart"/>
            <w:r>
              <w:rPr>
                <w:sz w:val="24"/>
                <w:szCs w:val="24"/>
              </w:rPr>
              <w:t>ug</w:t>
            </w:r>
            <w:proofErr w:type="spellEnd"/>
            <w:r>
              <w:rPr>
                <w:sz w:val="24"/>
                <w:szCs w:val="24"/>
              </w:rPr>
              <w:t>/G en la prueba de cuantificación de plomo in vivo en los huesos de una persona realizada entre el 16 de mayo de 2014 y los 90 días posteriores a la fecha de la Orden de Aprobación Preliminar.</w:t>
            </w:r>
          </w:p>
          <w:p w14:paraId="5BEC52D7" w14:textId="77777777" w:rsidR="00E54CE6" w:rsidRPr="00E532F9" w:rsidRDefault="00E54CE6">
            <w:pPr>
              <w:rPr>
                <w:rFonts w:eastAsia="Calibri" w:cs="Times New Roman"/>
              </w:rPr>
            </w:pPr>
          </w:p>
        </w:tc>
        <w:tc>
          <w:tcPr>
            <w:tcW w:w="4317" w:type="dxa"/>
          </w:tcPr>
          <w:p w14:paraId="1432F905" w14:textId="77777777" w:rsidR="00E54CE6" w:rsidRPr="00E532F9" w:rsidRDefault="0016202A">
            <w:pPr>
              <w:jc w:val="center"/>
              <w:rPr>
                <w:rFonts w:eastAsia="Calibri" w:cs="Times New Roman"/>
                <w:b/>
                <w:color w:val="0070C0"/>
                <w:sz w:val="24"/>
                <w:szCs w:val="24"/>
              </w:rPr>
            </w:pPr>
            <w:r>
              <w:rPr>
                <w:b/>
                <w:color w:val="0D0D0D"/>
                <w:sz w:val="24"/>
                <w:szCs w:val="24"/>
                <w:u w:val="single"/>
              </w:rPr>
              <w:lastRenderedPageBreak/>
              <w:t>Prestaciones Pecuniarias</w:t>
            </w:r>
          </w:p>
          <w:p w14:paraId="0287F269" w14:textId="77777777" w:rsidR="00E54CE6" w:rsidRPr="00E532F9" w:rsidRDefault="00E54CE6">
            <w:pPr>
              <w:jc w:val="center"/>
              <w:rPr>
                <w:rFonts w:eastAsia="Calibri" w:cs="Times New Roman"/>
                <w:b/>
                <w:color w:val="0070C0"/>
                <w:sz w:val="24"/>
                <w:szCs w:val="24"/>
              </w:rPr>
            </w:pPr>
          </w:p>
          <w:p w14:paraId="346B6576" w14:textId="77777777" w:rsidR="00E54CE6" w:rsidRPr="00E532F9" w:rsidRDefault="0016202A">
            <w:pPr>
              <w:jc w:val="center"/>
              <w:rPr>
                <w:rFonts w:eastAsia="Calibri" w:cs="Times New Roman"/>
                <w:b/>
                <w:color w:val="0070C0"/>
                <w:sz w:val="24"/>
                <w:szCs w:val="24"/>
              </w:rPr>
            </w:pPr>
            <w:r>
              <w:rPr>
                <w:b/>
                <w:color w:val="0070C0"/>
                <w:sz w:val="24"/>
                <w:szCs w:val="24"/>
              </w:rPr>
              <w:t>0.5z</w:t>
            </w:r>
          </w:p>
          <w:p w14:paraId="17202601" w14:textId="77777777" w:rsidR="00E54CE6" w:rsidRPr="00E532F9" w:rsidRDefault="00E54CE6">
            <w:pPr>
              <w:rPr>
                <w:rFonts w:eastAsia="Calibri" w:cs="Times New Roman"/>
              </w:rPr>
            </w:pPr>
          </w:p>
        </w:tc>
        <w:tc>
          <w:tcPr>
            <w:tcW w:w="4317" w:type="dxa"/>
          </w:tcPr>
          <w:p w14:paraId="475EBF71" w14:textId="77777777" w:rsidR="00E54CE6" w:rsidRPr="00E532F9" w:rsidRDefault="0016202A">
            <w:pPr>
              <w:jc w:val="center"/>
              <w:rPr>
                <w:rFonts w:eastAsia="Calibri" w:cs="Times New Roman"/>
                <w:sz w:val="24"/>
                <w:szCs w:val="24"/>
                <w:u w:val="single"/>
              </w:rPr>
            </w:pPr>
            <w:r>
              <w:rPr>
                <w:b/>
                <w:color w:val="0D0D0D"/>
                <w:sz w:val="24"/>
                <w:szCs w:val="24"/>
                <w:u w:val="single"/>
              </w:rPr>
              <w:t>Pruebas Exigidas</w:t>
            </w:r>
          </w:p>
          <w:p w14:paraId="18E32C0B" w14:textId="77777777" w:rsidR="00E54CE6" w:rsidRPr="00E532F9" w:rsidRDefault="00E54CE6">
            <w:pPr>
              <w:jc w:val="both"/>
              <w:rPr>
                <w:rFonts w:eastAsia="Calibri" w:cs="Times New Roman"/>
                <w:sz w:val="24"/>
                <w:szCs w:val="24"/>
                <w:u w:val="single"/>
              </w:rPr>
            </w:pPr>
          </w:p>
          <w:p w14:paraId="5E1D5B3D" w14:textId="77777777" w:rsidR="00E54CE6" w:rsidRPr="00E532F9" w:rsidRDefault="0016202A">
            <w:pPr>
              <w:jc w:val="both"/>
              <w:rPr>
                <w:rFonts w:eastAsia="Calibri" w:cs="Times New Roman"/>
              </w:rPr>
            </w:pPr>
            <w:r>
              <w:rPr>
                <w:sz w:val="24"/>
                <w:szCs w:val="24"/>
                <w:u w:val="single"/>
              </w:rPr>
              <w:t>Pruebas en la sangre o en los huesos</w:t>
            </w:r>
            <w:r>
              <w:rPr>
                <w:sz w:val="24"/>
                <w:szCs w:val="24"/>
              </w:rPr>
              <w:t>: tal como se describe en las pruebas exigidas para la Categoría 1.</w:t>
            </w:r>
          </w:p>
        </w:tc>
      </w:tr>
      <w:tr w:rsidR="00E54CE6" w:rsidRPr="00E532F9" w14:paraId="0B3D7CF5" w14:textId="77777777">
        <w:tc>
          <w:tcPr>
            <w:tcW w:w="12950" w:type="dxa"/>
            <w:gridSpan w:val="3"/>
            <w:shd w:val="clear" w:color="auto" w:fill="B4C6E7"/>
          </w:tcPr>
          <w:p w14:paraId="306BD776" w14:textId="77777777" w:rsidR="00E54CE6" w:rsidRPr="00E532F9" w:rsidRDefault="00E54CE6">
            <w:pPr>
              <w:jc w:val="center"/>
              <w:rPr>
                <w:rFonts w:eastAsia="Calibri" w:cs="Times New Roman"/>
                <w:b/>
                <w:sz w:val="24"/>
                <w:szCs w:val="24"/>
                <w:u w:val="single"/>
              </w:rPr>
            </w:pPr>
          </w:p>
          <w:p w14:paraId="34358E94" w14:textId="77777777" w:rsidR="00E54CE6" w:rsidRPr="00E532F9" w:rsidRDefault="0016202A">
            <w:pPr>
              <w:jc w:val="center"/>
              <w:rPr>
                <w:rFonts w:eastAsia="Calibri" w:cs="Times New Roman"/>
                <w:b/>
                <w:caps/>
                <w:sz w:val="24"/>
                <w:szCs w:val="24"/>
                <w:u w:val="single"/>
              </w:rPr>
            </w:pPr>
            <w:r>
              <w:rPr>
                <w:b/>
                <w:caps/>
                <w:sz w:val="24"/>
                <w:szCs w:val="24"/>
                <w:u w:val="single"/>
              </w:rPr>
              <w:t>Categoría 19</w:t>
            </w:r>
          </w:p>
          <w:p w14:paraId="05AB8CE6" w14:textId="77777777" w:rsidR="00E54CE6" w:rsidRPr="00E532F9" w:rsidRDefault="0016202A">
            <w:pPr>
              <w:autoSpaceDE w:val="0"/>
              <w:autoSpaceDN w:val="0"/>
              <w:adjustRightInd w:val="0"/>
              <w:contextualSpacing/>
              <w:jc w:val="center"/>
              <w:rPr>
                <w:rFonts w:eastAsia="Calibri" w:cs="Times New Roman"/>
                <w:b/>
                <w:sz w:val="24"/>
                <w:szCs w:val="24"/>
                <w:u w:val="single"/>
              </w:rPr>
            </w:pPr>
            <w:r>
              <w:rPr>
                <w:sz w:val="24"/>
                <w:szCs w:val="24"/>
                <w:u w:val="single"/>
              </w:rPr>
              <w:t>Adolescente, entre 12 y 17 años</w:t>
            </w:r>
            <w:r>
              <w:rPr>
                <w:sz w:val="24"/>
                <w:szCs w:val="24"/>
              </w:rPr>
              <w:t>, plomo en el agua residencial o tuberías de plomo/acero galvanizado.</w:t>
            </w:r>
            <w:r>
              <w:rPr>
                <w:b/>
                <w:sz w:val="24"/>
                <w:szCs w:val="24"/>
                <w:u w:val="single"/>
              </w:rPr>
              <w:t xml:space="preserve"> </w:t>
            </w:r>
          </w:p>
          <w:p w14:paraId="214911D3" w14:textId="77777777" w:rsidR="00E54CE6" w:rsidRPr="00E532F9" w:rsidRDefault="00E54CE6">
            <w:pPr>
              <w:autoSpaceDE w:val="0"/>
              <w:autoSpaceDN w:val="0"/>
              <w:adjustRightInd w:val="0"/>
              <w:contextualSpacing/>
              <w:jc w:val="center"/>
              <w:rPr>
                <w:rFonts w:eastAsia="Calibri" w:cs="Times New Roman"/>
                <w:b/>
                <w:sz w:val="24"/>
                <w:szCs w:val="24"/>
                <w:u w:val="single"/>
              </w:rPr>
            </w:pPr>
          </w:p>
        </w:tc>
      </w:tr>
      <w:tr w:rsidR="00E54CE6" w:rsidRPr="00E532F9" w14:paraId="28D79F73" w14:textId="77777777">
        <w:tc>
          <w:tcPr>
            <w:tcW w:w="4316" w:type="dxa"/>
          </w:tcPr>
          <w:p w14:paraId="50EF8A69" w14:textId="77777777" w:rsidR="00E54CE6" w:rsidRPr="00E532F9" w:rsidRDefault="0016202A">
            <w:pPr>
              <w:jc w:val="center"/>
              <w:rPr>
                <w:rFonts w:eastAsia="Calibri" w:cs="Times New Roman"/>
                <w:b/>
                <w:sz w:val="24"/>
                <w:szCs w:val="24"/>
                <w:u w:val="single"/>
              </w:rPr>
            </w:pPr>
            <w:r>
              <w:rPr>
                <w:b/>
                <w:sz w:val="24"/>
                <w:szCs w:val="24"/>
                <w:u w:val="single"/>
              </w:rPr>
              <w:t>Descripción de la Categoría</w:t>
            </w:r>
          </w:p>
          <w:p w14:paraId="109DBBF5" w14:textId="77777777" w:rsidR="00E54CE6" w:rsidRPr="00E532F9" w:rsidRDefault="00E54CE6">
            <w:pPr>
              <w:jc w:val="both"/>
              <w:rPr>
                <w:rFonts w:eastAsia="Calibri" w:cs="Times New Roman"/>
                <w:b/>
                <w:sz w:val="24"/>
                <w:szCs w:val="24"/>
                <w:u w:val="single"/>
              </w:rPr>
            </w:pPr>
          </w:p>
          <w:p w14:paraId="0E40695E" w14:textId="77777777" w:rsidR="00E54CE6" w:rsidRPr="00E532F9" w:rsidRDefault="0016202A">
            <w:pPr>
              <w:jc w:val="both"/>
              <w:rPr>
                <w:rFonts w:eastAsia="Calibri" w:cs="Times New Roman"/>
                <w:b/>
                <w:sz w:val="24"/>
                <w:szCs w:val="24"/>
                <w:u w:val="single"/>
              </w:rPr>
            </w:pPr>
            <w:r>
              <w:rPr>
                <w:b/>
                <w:sz w:val="24"/>
                <w:szCs w:val="24"/>
                <w:u w:val="single"/>
              </w:rPr>
              <w:t xml:space="preserve">Residencia con un nivel de plomo en el agua de 15 </w:t>
            </w:r>
            <w:proofErr w:type="spellStart"/>
            <w:r>
              <w:rPr>
                <w:b/>
                <w:sz w:val="24"/>
                <w:szCs w:val="24"/>
                <w:u w:val="single"/>
              </w:rPr>
              <w:t>ppb</w:t>
            </w:r>
            <w:proofErr w:type="spellEnd"/>
            <w:r>
              <w:rPr>
                <w:b/>
                <w:sz w:val="24"/>
                <w:szCs w:val="24"/>
                <w:u w:val="single"/>
              </w:rPr>
              <w:t xml:space="preserve"> o superior</w:t>
            </w:r>
          </w:p>
          <w:p w14:paraId="5816F9F0" w14:textId="77777777" w:rsidR="00E54CE6" w:rsidRPr="00E532F9" w:rsidRDefault="0016202A">
            <w:pPr>
              <w:jc w:val="both"/>
              <w:rPr>
                <w:rFonts w:eastAsia="Calibri" w:cs="Times New Roman"/>
                <w:sz w:val="24"/>
                <w:szCs w:val="24"/>
              </w:rPr>
            </w:pPr>
            <w:r>
              <w:rPr>
                <w:sz w:val="24"/>
                <w:szCs w:val="24"/>
              </w:rPr>
              <w:t>Personas entre 12 y 17 años en el momento de la primera exposición quienes:</w:t>
            </w:r>
          </w:p>
          <w:p w14:paraId="047F4E46" w14:textId="77777777" w:rsidR="00E54CE6" w:rsidRPr="00E532F9" w:rsidRDefault="00E54CE6">
            <w:pPr>
              <w:jc w:val="both"/>
              <w:rPr>
                <w:rFonts w:eastAsia="Calibri" w:cs="Times New Roman"/>
                <w:sz w:val="24"/>
                <w:szCs w:val="24"/>
              </w:rPr>
            </w:pPr>
          </w:p>
          <w:p w14:paraId="22EA7DFE" w14:textId="77777777" w:rsidR="00E54CE6" w:rsidRPr="00E532F9" w:rsidRDefault="0016202A">
            <w:pPr>
              <w:jc w:val="both"/>
              <w:rPr>
                <w:rFonts w:eastAsia="Calibri" w:cs="Times New Roman"/>
                <w:sz w:val="24"/>
                <w:szCs w:val="24"/>
              </w:rPr>
            </w:pPr>
            <w:r>
              <w:rPr>
                <w:sz w:val="24"/>
                <w:szCs w:val="24"/>
              </w:rPr>
              <w:lastRenderedPageBreak/>
              <w:t>(1) Por al menos 21 días durante cualquier período de 30 días entre el 25 de abril de 2014 y el 31 de julio de 2016;</w:t>
            </w:r>
          </w:p>
          <w:p w14:paraId="18F03358" w14:textId="77777777" w:rsidR="00E54CE6" w:rsidRPr="00E532F9" w:rsidRDefault="00E54CE6">
            <w:pPr>
              <w:jc w:val="both"/>
              <w:rPr>
                <w:rFonts w:eastAsia="Calibri" w:cs="Times New Roman"/>
                <w:sz w:val="24"/>
                <w:szCs w:val="24"/>
              </w:rPr>
            </w:pPr>
          </w:p>
          <w:p w14:paraId="51EE880A" w14:textId="77777777" w:rsidR="00E54CE6" w:rsidRPr="00E532F9" w:rsidRDefault="0016202A">
            <w:pPr>
              <w:jc w:val="both"/>
              <w:rPr>
                <w:rFonts w:eastAsia="Calibri" w:cs="Times New Roman"/>
                <w:b/>
                <w:sz w:val="24"/>
                <w:szCs w:val="24"/>
                <w:u w:val="single"/>
              </w:rPr>
            </w:pPr>
            <w:r>
              <w:rPr>
                <w:sz w:val="24"/>
                <w:szCs w:val="24"/>
              </w:rPr>
              <w:t xml:space="preserve">(2) Residieron o habitaron en una residencia de Flint; </w:t>
            </w:r>
            <w:r>
              <w:rPr>
                <w:b/>
                <w:sz w:val="24"/>
                <w:szCs w:val="24"/>
                <w:u w:val="single"/>
              </w:rPr>
              <w:t>y</w:t>
            </w:r>
          </w:p>
          <w:p w14:paraId="46E5D601" w14:textId="77777777" w:rsidR="00E54CE6" w:rsidRPr="00E532F9" w:rsidRDefault="00E54CE6">
            <w:pPr>
              <w:jc w:val="both"/>
              <w:rPr>
                <w:rFonts w:eastAsia="Calibri" w:cs="Times New Roman"/>
                <w:sz w:val="24"/>
                <w:szCs w:val="24"/>
              </w:rPr>
            </w:pPr>
          </w:p>
          <w:p w14:paraId="7A4FAD31" w14:textId="77777777" w:rsidR="00E54CE6" w:rsidRPr="00E532F9" w:rsidRDefault="0016202A">
            <w:pPr>
              <w:jc w:val="both"/>
              <w:rPr>
                <w:rFonts w:eastAsia="Calibri" w:cs="Times New Roman"/>
                <w:sz w:val="24"/>
                <w:szCs w:val="24"/>
              </w:rPr>
            </w:pPr>
            <w:r>
              <w:rPr>
                <w:sz w:val="24"/>
                <w:szCs w:val="24"/>
              </w:rPr>
              <w:t xml:space="preserve">(3) Obtuvieron un resultado de 15 </w:t>
            </w:r>
            <w:proofErr w:type="spellStart"/>
            <w:r>
              <w:rPr>
                <w:sz w:val="24"/>
                <w:szCs w:val="24"/>
              </w:rPr>
              <w:t>ppb</w:t>
            </w:r>
            <w:proofErr w:type="spellEnd"/>
            <w:r>
              <w:rPr>
                <w:sz w:val="24"/>
                <w:szCs w:val="24"/>
              </w:rPr>
              <w:t xml:space="preserve"> o superior en una prueba de nivel de plomo en el agua realizada en esa residencia de Flint entre el 16 de mayo de 2014 y el 31 de agosto de 2016.</w:t>
            </w:r>
          </w:p>
          <w:p w14:paraId="5DB41FEB" w14:textId="77777777" w:rsidR="00E54CE6" w:rsidRPr="00E532F9" w:rsidRDefault="00E54CE6">
            <w:pPr>
              <w:jc w:val="both"/>
              <w:rPr>
                <w:rFonts w:eastAsia="Calibri" w:cs="Times New Roman"/>
                <w:b/>
                <w:sz w:val="24"/>
                <w:szCs w:val="24"/>
                <w:u w:val="single"/>
              </w:rPr>
            </w:pPr>
          </w:p>
          <w:p w14:paraId="62396298" w14:textId="77777777" w:rsidR="00E54CE6" w:rsidRPr="00E532F9" w:rsidRDefault="0016202A">
            <w:pPr>
              <w:autoSpaceDE w:val="0"/>
              <w:autoSpaceDN w:val="0"/>
              <w:adjustRightInd w:val="0"/>
              <w:jc w:val="both"/>
              <w:rPr>
                <w:rFonts w:eastAsia="Calibri" w:cs="Times New Roman"/>
                <w:b/>
                <w:sz w:val="24"/>
                <w:szCs w:val="24"/>
                <w:u w:val="single"/>
              </w:rPr>
            </w:pPr>
            <w:r>
              <w:rPr>
                <w:b/>
                <w:sz w:val="24"/>
                <w:szCs w:val="24"/>
                <w:u w:val="single"/>
              </w:rPr>
              <w:t>O</w:t>
            </w:r>
          </w:p>
          <w:p w14:paraId="4E885475" w14:textId="77777777" w:rsidR="00E54CE6" w:rsidRPr="00E532F9" w:rsidRDefault="00E54CE6">
            <w:pPr>
              <w:autoSpaceDE w:val="0"/>
              <w:autoSpaceDN w:val="0"/>
              <w:adjustRightInd w:val="0"/>
              <w:jc w:val="both"/>
              <w:rPr>
                <w:rFonts w:eastAsia="Calibri" w:cs="Times New Roman"/>
                <w:sz w:val="24"/>
                <w:szCs w:val="24"/>
              </w:rPr>
            </w:pPr>
          </w:p>
          <w:p w14:paraId="5F1CF447" w14:textId="77777777" w:rsidR="00E54CE6" w:rsidRPr="00E532F9" w:rsidRDefault="0016202A">
            <w:pPr>
              <w:autoSpaceDE w:val="0"/>
              <w:autoSpaceDN w:val="0"/>
              <w:adjustRightInd w:val="0"/>
              <w:jc w:val="both"/>
              <w:rPr>
                <w:rFonts w:eastAsia="Calibri" w:cs="Times New Roman"/>
                <w:b/>
                <w:sz w:val="24"/>
                <w:szCs w:val="24"/>
                <w:u w:val="single"/>
              </w:rPr>
            </w:pPr>
            <w:r>
              <w:rPr>
                <w:b/>
                <w:sz w:val="24"/>
                <w:szCs w:val="24"/>
                <w:u w:val="single"/>
              </w:rPr>
              <w:t>Residencia con tuberías de plomo o acero galvanizado</w:t>
            </w:r>
          </w:p>
          <w:p w14:paraId="74D43795" w14:textId="77777777" w:rsidR="00E54CE6" w:rsidRPr="00E532F9" w:rsidRDefault="0016202A">
            <w:pPr>
              <w:jc w:val="both"/>
              <w:rPr>
                <w:rFonts w:eastAsia="Calibri" w:cs="Times New Roman"/>
                <w:sz w:val="24"/>
                <w:szCs w:val="24"/>
              </w:rPr>
            </w:pPr>
            <w:r>
              <w:rPr>
                <w:sz w:val="24"/>
                <w:szCs w:val="24"/>
              </w:rPr>
              <w:t>Personas entre 12 y 17 años en el momento de la primera exposición quienes:</w:t>
            </w:r>
          </w:p>
          <w:p w14:paraId="0C654FA2" w14:textId="77777777" w:rsidR="00E54CE6" w:rsidRPr="00E532F9" w:rsidRDefault="00E54CE6">
            <w:pPr>
              <w:jc w:val="both"/>
              <w:rPr>
                <w:rFonts w:eastAsia="Calibri" w:cs="Times New Roman"/>
                <w:sz w:val="24"/>
                <w:szCs w:val="24"/>
              </w:rPr>
            </w:pPr>
          </w:p>
          <w:p w14:paraId="25ACC11C" w14:textId="77777777" w:rsidR="00E54CE6" w:rsidRPr="00E532F9" w:rsidRDefault="0016202A">
            <w:pPr>
              <w:jc w:val="both"/>
              <w:rPr>
                <w:rFonts w:eastAsia="Calibri" w:cs="Times New Roman"/>
                <w:sz w:val="24"/>
                <w:szCs w:val="24"/>
              </w:rPr>
            </w:pPr>
            <w:r>
              <w:rPr>
                <w:sz w:val="24"/>
                <w:szCs w:val="24"/>
              </w:rPr>
              <w:t>(1) Por al menos 21 días durante cualquier período de 30 días entre el 25 de abril de 2014 y el 31 de julio de 2016;</w:t>
            </w:r>
          </w:p>
          <w:p w14:paraId="6F791F0B" w14:textId="77777777" w:rsidR="00E54CE6" w:rsidRPr="00E532F9" w:rsidRDefault="00E54CE6">
            <w:pPr>
              <w:jc w:val="both"/>
              <w:rPr>
                <w:rFonts w:eastAsia="Calibri" w:cs="Times New Roman"/>
                <w:sz w:val="24"/>
                <w:szCs w:val="24"/>
              </w:rPr>
            </w:pPr>
          </w:p>
          <w:p w14:paraId="14A8DAF7" w14:textId="77777777" w:rsidR="00E54CE6" w:rsidRPr="00E532F9" w:rsidRDefault="0016202A">
            <w:pPr>
              <w:jc w:val="both"/>
              <w:rPr>
                <w:rFonts w:eastAsia="Calibri" w:cs="Times New Roman"/>
                <w:b/>
                <w:sz w:val="24"/>
                <w:szCs w:val="24"/>
                <w:u w:val="single"/>
              </w:rPr>
            </w:pPr>
            <w:r>
              <w:rPr>
                <w:sz w:val="24"/>
                <w:szCs w:val="24"/>
              </w:rPr>
              <w:t xml:space="preserve">(2) Residieron o habitaron en una residencia de Flint; </w:t>
            </w:r>
            <w:r>
              <w:rPr>
                <w:b/>
                <w:sz w:val="24"/>
                <w:szCs w:val="24"/>
                <w:u w:val="single"/>
              </w:rPr>
              <w:t>y</w:t>
            </w:r>
          </w:p>
          <w:p w14:paraId="2CE4F3D9" w14:textId="77777777" w:rsidR="00E54CE6" w:rsidRPr="00E532F9" w:rsidRDefault="00E54CE6">
            <w:pPr>
              <w:jc w:val="both"/>
              <w:rPr>
                <w:rFonts w:eastAsia="Calibri" w:cs="Times New Roman"/>
                <w:sz w:val="24"/>
                <w:szCs w:val="24"/>
              </w:rPr>
            </w:pPr>
          </w:p>
          <w:p w14:paraId="666B958F" w14:textId="77777777" w:rsidR="00E54CE6" w:rsidRPr="00E532F9" w:rsidRDefault="0016202A">
            <w:pPr>
              <w:jc w:val="both"/>
              <w:rPr>
                <w:rFonts w:eastAsia="Calibri" w:cs="Times New Roman"/>
                <w:sz w:val="24"/>
                <w:szCs w:val="24"/>
              </w:rPr>
            </w:pPr>
            <w:r>
              <w:rPr>
                <w:sz w:val="24"/>
                <w:szCs w:val="24"/>
              </w:rPr>
              <w:t>(3) Esa residencia de Flint tenía tuberías de plomo o acero galvanizado.</w:t>
            </w:r>
          </w:p>
          <w:p w14:paraId="485584F6" w14:textId="77777777" w:rsidR="00E54CE6" w:rsidRPr="00E532F9" w:rsidRDefault="00E54CE6">
            <w:pPr>
              <w:jc w:val="both"/>
              <w:rPr>
                <w:rFonts w:eastAsia="Calibri" w:cs="Times New Roman"/>
                <w:b/>
                <w:sz w:val="24"/>
                <w:szCs w:val="24"/>
                <w:u w:val="single"/>
              </w:rPr>
            </w:pPr>
          </w:p>
        </w:tc>
        <w:tc>
          <w:tcPr>
            <w:tcW w:w="4317" w:type="dxa"/>
          </w:tcPr>
          <w:p w14:paraId="13DAAE6E" w14:textId="77777777" w:rsidR="00E54CE6" w:rsidRPr="00E532F9" w:rsidRDefault="0016202A">
            <w:pPr>
              <w:jc w:val="center"/>
              <w:rPr>
                <w:rFonts w:eastAsia="Calibri" w:cs="Times New Roman"/>
                <w:b/>
                <w:color w:val="0070C0"/>
                <w:sz w:val="24"/>
                <w:szCs w:val="24"/>
              </w:rPr>
            </w:pPr>
            <w:r>
              <w:rPr>
                <w:b/>
                <w:color w:val="0D0D0D"/>
                <w:sz w:val="24"/>
                <w:szCs w:val="24"/>
                <w:u w:val="single"/>
              </w:rPr>
              <w:lastRenderedPageBreak/>
              <w:t>Prestaciones Pecuniarias</w:t>
            </w:r>
          </w:p>
          <w:p w14:paraId="47627C5D" w14:textId="77777777" w:rsidR="00E54CE6" w:rsidRPr="00E532F9" w:rsidRDefault="00E54CE6">
            <w:pPr>
              <w:jc w:val="center"/>
              <w:rPr>
                <w:rFonts w:eastAsia="Calibri" w:cs="Times New Roman"/>
                <w:b/>
                <w:color w:val="0070C0"/>
                <w:sz w:val="24"/>
                <w:szCs w:val="24"/>
              </w:rPr>
            </w:pPr>
          </w:p>
          <w:p w14:paraId="2849E3CA" w14:textId="77777777" w:rsidR="00E54CE6" w:rsidRPr="00E532F9" w:rsidRDefault="0016202A">
            <w:pPr>
              <w:jc w:val="center"/>
              <w:rPr>
                <w:rFonts w:eastAsia="Calibri" w:cs="Times New Roman"/>
                <w:b/>
                <w:color w:val="0070C0"/>
                <w:sz w:val="24"/>
                <w:szCs w:val="24"/>
              </w:rPr>
            </w:pPr>
            <w:r>
              <w:rPr>
                <w:b/>
                <w:color w:val="0070C0"/>
                <w:sz w:val="24"/>
                <w:szCs w:val="24"/>
              </w:rPr>
              <w:t>0.2z</w:t>
            </w:r>
          </w:p>
          <w:p w14:paraId="35B4745B" w14:textId="77777777" w:rsidR="00E54CE6" w:rsidRPr="00E532F9" w:rsidRDefault="00E54CE6">
            <w:pPr>
              <w:rPr>
                <w:rFonts w:eastAsia="Calibri" w:cs="Times New Roman"/>
              </w:rPr>
            </w:pPr>
          </w:p>
        </w:tc>
        <w:tc>
          <w:tcPr>
            <w:tcW w:w="4317" w:type="dxa"/>
          </w:tcPr>
          <w:p w14:paraId="66E094D5" w14:textId="77777777" w:rsidR="00E54CE6" w:rsidRPr="00E532F9" w:rsidRDefault="0016202A">
            <w:pPr>
              <w:jc w:val="center"/>
              <w:rPr>
                <w:rFonts w:eastAsia="Calibri" w:cs="Times New Roman"/>
                <w:sz w:val="24"/>
                <w:szCs w:val="24"/>
                <w:u w:val="single"/>
              </w:rPr>
            </w:pPr>
            <w:r>
              <w:rPr>
                <w:b/>
                <w:color w:val="0D0D0D"/>
                <w:sz w:val="24"/>
                <w:szCs w:val="24"/>
                <w:u w:val="single"/>
              </w:rPr>
              <w:t>Pruebas Exigidas</w:t>
            </w:r>
          </w:p>
          <w:p w14:paraId="50BA9E0C" w14:textId="77777777" w:rsidR="00E54CE6" w:rsidRPr="00E532F9" w:rsidRDefault="00E54CE6">
            <w:pPr>
              <w:jc w:val="both"/>
              <w:rPr>
                <w:rFonts w:eastAsia="Calibri" w:cs="Times New Roman"/>
                <w:sz w:val="24"/>
                <w:szCs w:val="24"/>
                <w:u w:val="single"/>
              </w:rPr>
            </w:pPr>
          </w:p>
          <w:p w14:paraId="224E1711" w14:textId="77777777" w:rsidR="00E54CE6" w:rsidRPr="00E532F9" w:rsidRDefault="0016202A">
            <w:pPr>
              <w:jc w:val="both"/>
              <w:rPr>
                <w:rFonts w:eastAsia="Calibri" w:cs="Times New Roman"/>
                <w:sz w:val="24"/>
                <w:szCs w:val="24"/>
                <w:u w:val="single"/>
              </w:rPr>
            </w:pPr>
            <w:r>
              <w:rPr>
                <w:sz w:val="24"/>
                <w:szCs w:val="24"/>
                <w:u w:val="single"/>
              </w:rPr>
              <w:t>Nivel de plomo en el agua y tuberías de plomo o acero galvanizado</w:t>
            </w:r>
            <w:r>
              <w:rPr>
                <w:sz w:val="24"/>
                <w:szCs w:val="24"/>
              </w:rPr>
              <w:t>: tal como se describe en las pruebas exigidas para la Categoría 5.</w:t>
            </w:r>
          </w:p>
        </w:tc>
      </w:tr>
      <w:tr w:rsidR="00E54CE6" w:rsidRPr="00E532F9" w14:paraId="0EE1E984" w14:textId="77777777">
        <w:tc>
          <w:tcPr>
            <w:tcW w:w="12950" w:type="dxa"/>
            <w:gridSpan w:val="3"/>
            <w:shd w:val="clear" w:color="auto" w:fill="B4C6E7"/>
          </w:tcPr>
          <w:p w14:paraId="730CC20F" w14:textId="77777777" w:rsidR="00E54CE6" w:rsidRPr="00E532F9" w:rsidRDefault="00E54CE6">
            <w:pPr>
              <w:jc w:val="center"/>
              <w:rPr>
                <w:rFonts w:eastAsia="Calibri" w:cs="Times New Roman"/>
                <w:b/>
                <w:sz w:val="24"/>
                <w:szCs w:val="24"/>
                <w:u w:val="single"/>
              </w:rPr>
            </w:pPr>
          </w:p>
          <w:p w14:paraId="4B7DBDFF" w14:textId="77777777" w:rsidR="00E54CE6" w:rsidRPr="00E532F9" w:rsidRDefault="0016202A">
            <w:pPr>
              <w:jc w:val="center"/>
              <w:rPr>
                <w:rFonts w:eastAsia="Calibri" w:cs="Times New Roman"/>
                <w:b/>
                <w:caps/>
                <w:sz w:val="24"/>
                <w:szCs w:val="24"/>
                <w:u w:val="single"/>
              </w:rPr>
            </w:pPr>
            <w:r>
              <w:rPr>
                <w:b/>
                <w:caps/>
                <w:sz w:val="24"/>
                <w:szCs w:val="24"/>
                <w:u w:val="single"/>
              </w:rPr>
              <w:t>Categoría 20</w:t>
            </w:r>
          </w:p>
          <w:p w14:paraId="31EEC5EA" w14:textId="77777777" w:rsidR="00E54CE6" w:rsidRPr="00E532F9" w:rsidRDefault="0016202A">
            <w:pPr>
              <w:autoSpaceDE w:val="0"/>
              <w:autoSpaceDN w:val="0"/>
              <w:adjustRightInd w:val="0"/>
              <w:contextualSpacing/>
              <w:jc w:val="center"/>
              <w:rPr>
                <w:rFonts w:eastAsia="Calibri" w:cs="Times New Roman"/>
                <w:sz w:val="24"/>
                <w:szCs w:val="24"/>
              </w:rPr>
            </w:pPr>
            <w:r>
              <w:rPr>
                <w:sz w:val="24"/>
                <w:szCs w:val="24"/>
                <w:u w:val="single"/>
              </w:rPr>
              <w:t>Adolescente, entre 12 y 17 años</w:t>
            </w:r>
            <w:r>
              <w:rPr>
                <w:sz w:val="24"/>
                <w:szCs w:val="24"/>
              </w:rPr>
              <w:t>, sin nivel de plomo en la sangre o en los huesos.</w:t>
            </w:r>
          </w:p>
          <w:p w14:paraId="302B7986" w14:textId="77777777" w:rsidR="00E54CE6" w:rsidRPr="00E532F9" w:rsidRDefault="00E54CE6">
            <w:pPr>
              <w:autoSpaceDE w:val="0"/>
              <w:autoSpaceDN w:val="0"/>
              <w:adjustRightInd w:val="0"/>
              <w:contextualSpacing/>
              <w:jc w:val="center"/>
              <w:rPr>
                <w:rFonts w:eastAsia="Calibri" w:cs="Times New Roman"/>
                <w:b/>
                <w:sz w:val="24"/>
                <w:szCs w:val="24"/>
                <w:u w:val="single"/>
              </w:rPr>
            </w:pPr>
          </w:p>
        </w:tc>
      </w:tr>
      <w:tr w:rsidR="00E54CE6" w:rsidRPr="00E532F9" w14:paraId="66571BB2" w14:textId="77777777">
        <w:tc>
          <w:tcPr>
            <w:tcW w:w="4316" w:type="dxa"/>
          </w:tcPr>
          <w:p w14:paraId="0BC82CA5" w14:textId="77777777" w:rsidR="00E54CE6" w:rsidRPr="00E532F9" w:rsidRDefault="0016202A">
            <w:pPr>
              <w:jc w:val="center"/>
              <w:rPr>
                <w:rFonts w:eastAsia="Calibri" w:cs="Times New Roman"/>
                <w:b/>
                <w:sz w:val="24"/>
                <w:szCs w:val="24"/>
                <w:u w:val="single"/>
              </w:rPr>
            </w:pPr>
            <w:r>
              <w:rPr>
                <w:b/>
                <w:sz w:val="24"/>
                <w:szCs w:val="24"/>
                <w:u w:val="single"/>
              </w:rPr>
              <w:lastRenderedPageBreak/>
              <w:t>Descripción de la Categoría</w:t>
            </w:r>
          </w:p>
          <w:p w14:paraId="1965788E" w14:textId="77777777" w:rsidR="00E54CE6" w:rsidRPr="00E532F9" w:rsidRDefault="00E54CE6">
            <w:pPr>
              <w:jc w:val="both"/>
              <w:rPr>
                <w:rFonts w:eastAsia="Calibri" w:cs="Times New Roman"/>
                <w:b/>
                <w:sz w:val="24"/>
                <w:szCs w:val="24"/>
                <w:u w:val="single"/>
              </w:rPr>
            </w:pPr>
          </w:p>
          <w:p w14:paraId="64CEA56B" w14:textId="77777777" w:rsidR="00E54CE6" w:rsidRPr="00E532F9" w:rsidRDefault="0016202A">
            <w:pPr>
              <w:jc w:val="both"/>
              <w:rPr>
                <w:rFonts w:eastAsia="Calibri" w:cs="Times New Roman"/>
                <w:b/>
                <w:sz w:val="24"/>
                <w:szCs w:val="24"/>
                <w:u w:val="single"/>
              </w:rPr>
            </w:pPr>
            <w:r>
              <w:rPr>
                <w:b/>
                <w:sz w:val="24"/>
                <w:szCs w:val="24"/>
                <w:u w:val="single"/>
              </w:rPr>
              <w:t>Sin Nivel de Plomo en la Sangre o en los Huesos</w:t>
            </w:r>
          </w:p>
          <w:p w14:paraId="66ACDECC" w14:textId="77777777" w:rsidR="00E54CE6" w:rsidRPr="00E532F9" w:rsidRDefault="0016202A">
            <w:pPr>
              <w:jc w:val="both"/>
              <w:rPr>
                <w:rFonts w:eastAsia="Calibri" w:cs="Times New Roman"/>
                <w:sz w:val="24"/>
                <w:szCs w:val="24"/>
              </w:rPr>
            </w:pPr>
            <w:r>
              <w:rPr>
                <w:sz w:val="24"/>
                <w:szCs w:val="24"/>
              </w:rPr>
              <w:t>Personas entre 12 y 17 años en el momento de la primera exposición quienes:</w:t>
            </w:r>
          </w:p>
          <w:p w14:paraId="10EC2BA7" w14:textId="77777777" w:rsidR="00E54CE6" w:rsidRPr="00E532F9" w:rsidRDefault="00E54CE6">
            <w:pPr>
              <w:jc w:val="both"/>
              <w:rPr>
                <w:rFonts w:eastAsia="Calibri" w:cs="Times New Roman"/>
                <w:sz w:val="24"/>
                <w:szCs w:val="24"/>
              </w:rPr>
            </w:pPr>
          </w:p>
          <w:p w14:paraId="4F535C97" w14:textId="77777777" w:rsidR="00E54CE6" w:rsidRPr="00E532F9" w:rsidRDefault="0016202A">
            <w:pPr>
              <w:jc w:val="both"/>
              <w:rPr>
                <w:rFonts w:eastAsia="Calibri" w:cs="Times New Roman"/>
                <w:sz w:val="24"/>
                <w:szCs w:val="24"/>
              </w:rPr>
            </w:pPr>
            <w:r>
              <w:rPr>
                <w:sz w:val="24"/>
                <w:szCs w:val="24"/>
              </w:rPr>
              <w:t>(1) Por al menos 21 días durante cualquier período de 30 días entre el 25 de abril de 2014 y el 31 de julio de 2016;</w:t>
            </w:r>
          </w:p>
          <w:p w14:paraId="4C13EC2A" w14:textId="77777777" w:rsidR="00E54CE6" w:rsidRPr="00E532F9" w:rsidRDefault="00E54CE6">
            <w:pPr>
              <w:jc w:val="both"/>
              <w:rPr>
                <w:rFonts w:eastAsia="Calibri" w:cs="Times New Roman"/>
                <w:sz w:val="24"/>
                <w:szCs w:val="24"/>
              </w:rPr>
            </w:pPr>
          </w:p>
          <w:p w14:paraId="3357E2E5" w14:textId="77777777" w:rsidR="00E54CE6" w:rsidRPr="00E532F9" w:rsidRDefault="0016202A">
            <w:pPr>
              <w:jc w:val="both"/>
              <w:rPr>
                <w:rFonts w:eastAsia="Calibri" w:cs="Times New Roman"/>
                <w:b/>
                <w:sz w:val="24"/>
                <w:szCs w:val="24"/>
                <w:u w:val="single"/>
              </w:rPr>
            </w:pPr>
            <w:r>
              <w:rPr>
                <w:sz w:val="24"/>
                <w:szCs w:val="24"/>
              </w:rPr>
              <w:t xml:space="preserve">(2) Residieron, habitaron o asistieron a la escuela o trabajaron en Flint, o estuvieron expuestas de alguna forma al agua de Flint; </w:t>
            </w:r>
            <w:r>
              <w:rPr>
                <w:b/>
                <w:sz w:val="24"/>
                <w:szCs w:val="24"/>
                <w:u w:val="single"/>
              </w:rPr>
              <w:t>y</w:t>
            </w:r>
          </w:p>
          <w:p w14:paraId="4DA84AA6" w14:textId="77777777" w:rsidR="00E54CE6" w:rsidRPr="00E532F9" w:rsidRDefault="00E54CE6">
            <w:pPr>
              <w:jc w:val="both"/>
              <w:rPr>
                <w:rFonts w:eastAsia="Calibri" w:cs="Times New Roman"/>
                <w:sz w:val="24"/>
                <w:szCs w:val="24"/>
              </w:rPr>
            </w:pPr>
          </w:p>
          <w:p w14:paraId="4C44ABE1" w14:textId="77777777" w:rsidR="00E54CE6" w:rsidRPr="00E532F9" w:rsidRDefault="0016202A">
            <w:pPr>
              <w:rPr>
                <w:rFonts w:eastAsia="Calibri" w:cs="Times New Roman"/>
                <w:sz w:val="24"/>
                <w:szCs w:val="24"/>
              </w:rPr>
            </w:pPr>
            <w:r>
              <w:rPr>
                <w:sz w:val="24"/>
                <w:szCs w:val="24"/>
              </w:rPr>
              <w:t>(3) No tienen pruebas del nivel de plomo en la sangre o en los huesos.</w:t>
            </w:r>
          </w:p>
          <w:p w14:paraId="0182ADF5" w14:textId="77777777" w:rsidR="00E54CE6" w:rsidRPr="00E532F9" w:rsidRDefault="00E54CE6">
            <w:pPr>
              <w:rPr>
                <w:rFonts w:eastAsia="Calibri" w:cs="Times New Roman"/>
              </w:rPr>
            </w:pPr>
          </w:p>
          <w:p w14:paraId="0D5853F8" w14:textId="77777777" w:rsidR="00E54CE6" w:rsidRPr="00E532F9" w:rsidRDefault="00E54CE6">
            <w:pPr>
              <w:rPr>
                <w:rFonts w:eastAsia="Calibri" w:cs="Times New Roman"/>
              </w:rPr>
            </w:pPr>
          </w:p>
        </w:tc>
        <w:tc>
          <w:tcPr>
            <w:tcW w:w="4317" w:type="dxa"/>
          </w:tcPr>
          <w:p w14:paraId="1099FAE8" w14:textId="77777777" w:rsidR="00E54CE6" w:rsidRPr="00E532F9" w:rsidRDefault="0016202A">
            <w:pPr>
              <w:jc w:val="center"/>
              <w:rPr>
                <w:rFonts w:eastAsia="Calibri" w:cs="Times New Roman"/>
                <w:b/>
                <w:color w:val="0070C0"/>
                <w:sz w:val="24"/>
                <w:szCs w:val="24"/>
              </w:rPr>
            </w:pPr>
            <w:r>
              <w:rPr>
                <w:b/>
                <w:color w:val="0D0D0D"/>
                <w:sz w:val="24"/>
                <w:szCs w:val="24"/>
                <w:u w:val="single"/>
              </w:rPr>
              <w:t>Prestaciones Pecuniarias</w:t>
            </w:r>
          </w:p>
          <w:p w14:paraId="7E3B62E4" w14:textId="77777777" w:rsidR="00E54CE6" w:rsidRPr="00E532F9" w:rsidRDefault="00E54CE6">
            <w:pPr>
              <w:jc w:val="center"/>
              <w:rPr>
                <w:rFonts w:eastAsia="Calibri" w:cs="Times New Roman"/>
                <w:b/>
                <w:color w:val="0070C0"/>
                <w:sz w:val="24"/>
                <w:szCs w:val="24"/>
              </w:rPr>
            </w:pPr>
          </w:p>
          <w:p w14:paraId="474DCDC2" w14:textId="77777777" w:rsidR="00E54CE6" w:rsidRPr="00E532F9" w:rsidRDefault="0016202A">
            <w:pPr>
              <w:jc w:val="center"/>
              <w:rPr>
                <w:rFonts w:eastAsia="Calibri" w:cs="Times New Roman"/>
                <w:b/>
                <w:color w:val="0070C0"/>
                <w:sz w:val="24"/>
                <w:szCs w:val="24"/>
              </w:rPr>
            </w:pPr>
            <w:r>
              <w:rPr>
                <w:b/>
                <w:color w:val="0070C0"/>
                <w:sz w:val="24"/>
                <w:szCs w:val="24"/>
              </w:rPr>
              <w:t>0.15z</w:t>
            </w:r>
          </w:p>
          <w:p w14:paraId="0EDB768D" w14:textId="77777777" w:rsidR="00E54CE6" w:rsidRPr="00E532F9" w:rsidRDefault="00E54CE6">
            <w:pPr>
              <w:rPr>
                <w:rFonts w:eastAsia="Calibri" w:cs="Times New Roman"/>
              </w:rPr>
            </w:pPr>
          </w:p>
        </w:tc>
        <w:tc>
          <w:tcPr>
            <w:tcW w:w="4317" w:type="dxa"/>
          </w:tcPr>
          <w:p w14:paraId="145FC85B" w14:textId="77777777" w:rsidR="00E54CE6" w:rsidRPr="00E532F9" w:rsidRDefault="0016202A">
            <w:pPr>
              <w:jc w:val="center"/>
              <w:rPr>
                <w:rFonts w:eastAsia="Calibri" w:cs="Times New Roman"/>
                <w:sz w:val="24"/>
                <w:szCs w:val="24"/>
                <w:u w:val="single"/>
              </w:rPr>
            </w:pPr>
            <w:r>
              <w:rPr>
                <w:b/>
                <w:color w:val="0D0D0D"/>
                <w:sz w:val="24"/>
                <w:szCs w:val="24"/>
                <w:u w:val="single"/>
              </w:rPr>
              <w:t>Pruebas Exigidas</w:t>
            </w:r>
          </w:p>
          <w:p w14:paraId="39960953" w14:textId="77777777" w:rsidR="00E54CE6" w:rsidRPr="00E532F9" w:rsidRDefault="00E54CE6">
            <w:pPr>
              <w:rPr>
                <w:rFonts w:eastAsia="Calibri" w:cs="Times New Roman"/>
                <w:sz w:val="24"/>
                <w:szCs w:val="24"/>
                <w:u w:val="single"/>
              </w:rPr>
            </w:pPr>
          </w:p>
          <w:p w14:paraId="4BF08CD1" w14:textId="77777777" w:rsidR="00E54CE6" w:rsidRPr="00E532F9" w:rsidRDefault="0016202A">
            <w:pPr>
              <w:rPr>
                <w:rFonts w:eastAsia="Calibri" w:cs="Times New Roman"/>
              </w:rPr>
            </w:pPr>
            <w:r>
              <w:rPr>
                <w:sz w:val="24"/>
                <w:szCs w:val="24"/>
                <w:u w:val="single"/>
              </w:rPr>
              <w:t>Sin nivel de plomo en la sangre o en los huesos</w:t>
            </w:r>
            <w:r>
              <w:rPr>
                <w:sz w:val="24"/>
                <w:szCs w:val="24"/>
              </w:rPr>
              <w:t>: Verificación del formulario donde se declara el cumplimiento de los requisitos, con documentación básica.</w:t>
            </w:r>
          </w:p>
        </w:tc>
      </w:tr>
      <w:tr w:rsidR="00E54CE6" w:rsidRPr="00E532F9" w14:paraId="4B1B9A92" w14:textId="77777777">
        <w:tc>
          <w:tcPr>
            <w:tcW w:w="12950" w:type="dxa"/>
            <w:gridSpan w:val="3"/>
            <w:shd w:val="clear" w:color="auto" w:fill="B4C6E7"/>
          </w:tcPr>
          <w:p w14:paraId="36CE597A" w14:textId="77777777" w:rsidR="00E54CE6" w:rsidRPr="00E532F9" w:rsidRDefault="00E54CE6">
            <w:pPr>
              <w:jc w:val="center"/>
              <w:rPr>
                <w:rFonts w:eastAsia="Calibri" w:cs="Times New Roman"/>
                <w:b/>
                <w:sz w:val="24"/>
                <w:szCs w:val="24"/>
                <w:u w:val="single"/>
              </w:rPr>
            </w:pPr>
          </w:p>
          <w:p w14:paraId="254B60AF" w14:textId="77777777" w:rsidR="00E54CE6" w:rsidRPr="00E532F9" w:rsidRDefault="0016202A">
            <w:pPr>
              <w:jc w:val="center"/>
              <w:rPr>
                <w:rFonts w:eastAsia="Calibri" w:cs="Times New Roman"/>
                <w:b/>
                <w:caps/>
                <w:sz w:val="24"/>
                <w:szCs w:val="24"/>
                <w:u w:val="single"/>
              </w:rPr>
            </w:pPr>
            <w:r>
              <w:rPr>
                <w:b/>
                <w:caps/>
                <w:sz w:val="24"/>
                <w:szCs w:val="24"/>
                <w:u w:val="single"/>
              </w:rPr>
              <w:t>Categoría 21</w:t>
            </w:r>
          </w:p>
          <w:p w14:paraId="57C8D85D" w14:textId="77777777" w:rsidR="00E54CE6" w:rsidRPr="00E532F9" w:rsidRDefault="0016202A">
            <w:pPr>
              <w:autoSpaceDE w:val="0"/>
              <w:autoSpaceDN w:val="0"/>
              <w:adjustRightInd w:val="0"/>
              <w:contextualSpacing/>
              <w:jc w:val="center"/>
              <w:rPr>
                <w:rFonts w:eastAsia="Calibri" w:cs="Times New Roman"/>
                <w:sz w:val="24"/>
                <w:szCs w:val="24"/>
              </w:rPr>
            </w:pPr>
            <w:r>
              <w:rPr>
                <w:sz w:val="24"/>
                <w:szCs w:val="24"/>
                <w:u w:val="single"/>
              </w:rPr>
              <w:t>Adolescente entre 12 y 17 años</w:t>
            </w:r>
            <w:r>
              <w:rPr>
                <w:sz w:val="24"/>
                <w:szCs w:val="24"/>
              </w:rPr>
              <w:t>, expuesto al agua de Flint después del 31 de julio de 2016</w:t>
            </w:r>
          </w:p>
          <w:p w14:paraId="4F2149DE" w14:textId="77777777" w:rsidR="00E54CE6" w:rsidRPr="00E532F9" w:rsidRDefault="00E54CE6">
            <w:pPr>
              <w:autoSpaceDE w:val="0"/>
              <w:autoSpaceDN w:val="0"/>
              <w:adjustRightInd w:val="0"/>
              <w:contextualSpacing/>
              <w:jc w:val="center"/>
              <w:rPr>
                <w:rFonts w:eastAsia="Calibri" w:cs="Times New Roman"/>
                <w:b/>
                <w:sz w:val="24"/>
                <w:szCs w:val="24"/>
                <w:u w:val="single"/>
              </w:rPr>
            </w:pPr>
          </w:p>
        </w:tc>
      </w:tr>
      <w:tr w:rsidR="00E54CE6" w:rsidRPr="00E532F9" w14:paraId="749BB45E" w14:textId="77777777">
        <w:tc>
          <w:tcPr>
            <w:tcW w:w="4316" w:type="dxa"/>
          </w:tcPr>
          <w:p w14:paraId="7D05B378" w14:textId="77777777" w:rsidR="00E54CE6" w:rsidRPr="00E532F9" w:rsidRDefault="0016202A">
            <w:pPr>
              <w:jc w:val="center"/>
              <w:rPr>
                <w:rFonts w:eastAsia="Calibri" w:cs="Times New Roman"/>
                <w:b/>
                <w:sz w:val="24"/>
                <w:szCs w:val="24"/>
                <w:u w:val="single"/>
              </w:rPr>
            </w:pPr>
            <w:r>
              <w:rPr>
                <w:b/>
                <w:sz w:val="24"/>
                <w:szCs w:val="24"/>
                <w:u w:val="single"/>
              </w:rPr>
              <w:t>Descripción de la Categoría</w:t>
            </w:r>
          </w:p>
          <w:p w14:paraId="5EC2FA07" w14:textId="77777777" w:rsidR="00E54CE6" w:rsidRPr="00E532F9" w:rsidRDefault="00E54CE6">
            <w:pPr>
              <w:jc w:val="both"/>
              <w:rPr>
                <w:rFonts w:eastAsia="Calibri" w:cs="Times New Roman"/>
                <w:b/>
                <w:sz w:val="24"/>
                <w:szCs w:val="24"/>
                <w:u w:val="single"/>
              </w:rPr>
            </w:pPr>
          </w:p>
          <w:p w14:paraId="78FECD0F" w14:textId="77777777" w:rsidR="00E54CE6" w:rsidRPr="00E532F9" w:rsidRDefault="0016202A">
            <w:pPr>
              <w:jc w:val="both"/>
              <w:rPr>
                <w:rFonts w:eastAsia="Calibri" w:cs="Times New Roman"/>
                <w:b/>
                <w:sz w:val="24"/>
                <w:szCs w:val="24"/>
                <w:u w:val="single"/>
              </w:rPr>
            </w:pPr>
            <w:r>
              <w:rPr>
                <w:b/>
                <w:sz w:val="24"/>
                <w:szCs w:val="24"/>
                <w:u w:val="single"/>
              </w:rPr>
              <w:t>Exposición al agua de Flint después del 31 de julio de 2016</w:t>
            </w:r>
          </w:p>
          <w:p w14:paraId="620DB594" w14:textId="77777777" w:rsidR="00E54CE6" w:rsidRPr="00E532F9" w:rsidRDefault="0016202A">
            <w:pPr>
              <w:jc w:val="both"/>
              <w:rPr>
                <w:rFonts w:eastAsia="Calibri" w:cs="Times New Roman"/>
                <w:sz w:val="24"/>
                <w:szCs w:val="24"/>
              </w:rPr>
            </w:pPr>
            <w:r>
              <w:rPr>
                <w:iCs/>
                <w:sz w:val="24"/>
                <w:szCs w:val="24"/>
              </w:rPr>
              <w:t>Personas entre 12 y 17 años en el momento de la primera exposición quienes</w:t>
            </w:r>
            <w:r>
              <w:rPr>
                <w:sz w:val="24"/>
                <w:szCs w:val="24"/>
              </w:rPr>
              <w:t>:</w:t>
            </w:r>
          </w:p>
          <w:p w14:paraId="42FBD5CB" w14:textId="77777777" w:rsidR="00E54CE6" w:rsidRPr="00E532F9" w:rsidRDefault="00E54CE6">
            <w:pPr>
              <w:jc w:val="both"/>
              <w:rPr>
                <w:rFonts w:eastAsia="Calibri" w:cs="Times New Roman"/>
                <w:sz w:val="24"/>
                <w:szCs w:val="24"/>
              </w:rPr>
            </w:pPr>
          </w:p>
          <w:p w14:paraId="52459D38" w14:textId="77777777" w:rsidR="00E54CE6" w:rsidRPr="00E532F9" w:rsidRDefault="0016202A">
            <w:pPr>
              <w:jc w:val="both"/>
              <w:rPr>
                <w:rFonts w:eastAsia="Calibri" w:cs="Times New Roman"/>
                <w:sz w:val="24"/>
                <w:szCs w:val="24"/>
              </w:rPr>
            </w:pPr>
            <w:r>
              <w:rPr>
                <w:sz w:val="24"/>
                <w:szCs w:val="24"/>
              </w:rPr>
              <w:lastRenderedPageBreak/>
              <w:t>(1) Por al menos 21 días durante cualquier período de 30 días después del 31 de julio de 2016 y antes de la Fecha de Celebración del Acuerdo de Indemnización;</w:t>
            </w:r>
          </w:p>
          <w:p w14:paraId="53AD4A54" w14:textId="77777777" w:rsidR="00E54CE6" w:rsidRPr="00E532F9" w:rsidRDefault="00E54CE6">
            <w:pPr>
              <w:jc w:val="both"/>
              <w:rPr>
                <w:rFonts w:eastAsia="Calibri" w:cs="Times New Roman"/>
                <w:sz w:val="24"/>
                <w:szCs w:val="24"/>
              </w:rPr>
            </w:pPr>
          </w:p>
          <w:p w14:paraId="3A096251" w14:textId="77777777" w:rsidR="00E54CE6" w:rsidRPr="00E532F9" w:rsidRDefault="0016202A">
            <w:pPr>
              <w:rPr>
                <w:rFonts w:eastAsia="Calibri" w:cs="Times New Roman"/>
                <w:sz w:val="24"/>
                <w:szCs w:val="24"/>
              </w:rPr>
            </w:pPr>
            <w:r>
              <w:rPr>
                <w:sz w:val="24"/>
                <w:szCs w:val="24"/>
              </w:rPr>
              <w:t>(2) Residieron, habitaron o asistieron a la escuela o trabajaron en Flint, o estuvieron expuestas de alguna forma al agua de Flint.</w:t>
            </w:r>
          </w:p>
          <w:p w14:paraId="150D8330" w14:textId="77777777" w:rsidR="00E54CE6" w:rsidRPr="00E532F9" w:rsidRDefault="00E54CE6">
            <w:pPr>
              <w:rPr>
                <w:rFonts w:eastAsia="Calibri" w:cs="Times New Roman"/>
              </w:rPr>
            </w:pPr>
          </w:p>
        </w:tc>
        <w:tc>
          <w:tcPr>
            <w:tcW w:w="4317" w:type="dxa"/>
          </w:tcPr>
          <w:p w14:paraId="426E8009" w14:textId="77777777" w:rsidR="00E54CE6" w:rsidRPr="00E532F9" w:rsidRDefault="0016202A">
            <w:pPr>
              <w:jc w:val="center"/>
              <w:rPr>
                <w:rFonts w:eastAsia="Calibri" w:cs="Times New Roman"/>
                <w:b/>
                <w:color w:val="0070C0"/>
                <w:sz w:val="24"/>
                <w:szCs w:val="24"/>
              </w:rPr>
            </w:pPr>
            <w:r>
              <w:rPr>
                <w:b/>
                <w:color w:val="0D0D0D"/>
                <w:sz w:val="24"/>
                <w:szCs w:val="24"/>
                <w:u w:val="single"/>
              </w:rPr>
              <w:lastRenderedPageBreak/>
              <w:t>Prestaciones Pecuniarias</w:t>
            </w:r>
          </w:p>
          <w:p w14:paraId="2432AA92" w14:textId="77777777" w:rsidR="00E54CE6" w:rsidRPr="00E532F9" w:rsidRDefault="00E54CE6">
            <w:pPr>
              <w:jc w:val="center"/>
              <w:rPr>
                <w:rFonts w:eastAsia="Calibri" w:cs="Times New Roman"/>
                <w:b/>
                <w:color w:val="0070C0"/>
                <w:sz w:val="24"/>
                <w:szCs w:val="24"/>
              </w:rPr>
            </w:pPr>
          </w:p>
          <w:p w14:paraId="46C65996" w14:textId="77777777" w:rsidR="00E54CE6" w:rsidRPr="00E532F9" w:rsidRDefault="0016202A">
            <w:pPr>
              <w:jc w:val="center"/>
              <w:rPr>
                <w:rFonts w:eastAsia="Calibri" w:cs="Times New Roman"/>
                <w:b/>
                <w:color w:val="0070C0"/>
                <w:sz w:val="24"/>
                <w:szCs w:val="24"/>
              </w:rPr>
            </w:pPr>
            <w:r>
              <w:rPr>
                <w:b/>
                <w:color w:val="0070C0"/>
                <w:sz w:val="24"/>
                <w:szCs w:val="24"/>
              </w:rPr>
              <w:t>0.1z</w:t>
            </w:r>
          </w:p>
          <w:p w14:paraId="4267B253" w14:textId="77777777" w:rsidR="00E54CE6" w:rsidRPr="00E532F9" w:rsidRDefault="00E54CE6">
            <w:pPr>
              <w:rPr>
                <w:rFonts w:eastAsia="Calibri" w:cs="Times New Roman"/>
              </w:rPr>
            </w:pPr>
          </w:p>
        </w:tc>
        <w:tc>
          <w:tcPr>
            <w:tcW w:w="4317" w:type="dxa"/>
          </w:tcPr>
          <w:p w14:paraId="1F30E409" w14:textId="77777777" w:rsidR="00E54CE6" w:rsidRPr="00E532F9" w:rsidRDefault="0016202A">
            <w:pPr>
              <w:jc w:val="center"/>
              <w:rPr>
                <w:rFonts w:eastAsia="Calibri" w:cs="Times New Roman"/>
                <w:sz w:val="24"/>
                <w:szCs w:val="24"/>
                <w:u w:val="single"/>
              </w:rPr>
            </w:pPr>
            <w:r>
              <w:rPr>
                <w:b/>
                <w:color w:val="0D0D0D"/>
                <w:sz w:val="24"/>
                <w:szCs w:val="24"/>
                <w:u w:val="single"/>
              </w:rPr>
              <w:t>Pruebas Exigidas</w:t>
            </w:r>
          </w:p>
          <w:p w14:paraId="31A8E47E" w14:textId="77777777" w:rsidR="00E54CE6" w:rsidRPr="00E532F9" w:rsidRDefault="00E54CE6">
            <w:pPr>
              <w:jc w:val="both"/>
              <w:rPr>
                <w:rFonts w:eastAsia="Calibri" w:cs="Times New Roman"/>
                <w:sz w:val="24"/>
                <w:szCs w:val="24"/>
                <w:u w:val="single"/>
              </w:rPr>
            </w:pPr>
          </w:p>
          <w:p w14:paraId="37528A98" w14:textId="77777777" w:rsidR="00E54CE6" w:rsidRPr="00E532F9" w:rsidRDefault="0016202A">
            <w:pPr>
              <w:jc w:val="both"/>
              <w:rPr>
                <w:rFonts w:eastAsia="Calibri" w:cs="Times New Roman"/>
              </w:rPr>
            </w:pPr>
            <w:r>
              <w:rPr>
                <w:sz w:val="24"/>
                <w:szCs w:val="24"/>
                <w:u w:val="single"/>
              </w:rPr>
              <w:t>Exposición al agua de Flint después del 31 de julio de 2016</w:t>
            </w:r>
            <w:r>
              <w:rPr>
                <w:sz w:val="24"/>
                <w:szCs w:val="24"/>
              </w:rPr>
              <w:t>: Verificación del formulario donde se declara el cumplimiento de los requisitos, con documentación básica.</w:t>
            </w:r>
          </w:p>
        </w:tc>
      </w:tr>
    </w:tbl>
    <w:p w14:paraId="14638179" w14:textId="77777777" w:rsidR="00E54CE6" w:rsidRPr="00E532F9" w:rsidRDefault="00E54CE6">
      <w:pPr>
        <w:rPr>
          <w:rFonts w:eastAsia="Calibri" w:cs="Times New Roman"/>
        </w:rPr>
      </w:pPr>
    </w:p>
    <w:p w14:paraId="486AB43B" w14:textId="77777777" w:rsidR="00E54CE6" w:rsidRPr="00E532F9" w:rsidRDefault="0016202A">
      <w:pPr>
        <w:numPr>
          <w:ilvl w:val="0"/>
          <w:numId w:val="3"/>
        </w:numPr>
        <w:contextualSpacing/>
        <w:rPr>
          <w:rFonts w:eastAsia="Calibri" w:cs="Times New Roman"/>
          <w:b/>
          <w:bCs/>
          <w:u w:val="single"/>
        </w:rPr>
      </w:pPr>
      <w:r>
        <w:rPr>
          <w:b/>
          <w:bCs/>
          <w:u w:val="single"/>
        </w:rPr>
        <w:t>Categorías de Indemnización para Adultos</w:t>
      </w:r>
    </w:p>
    <w:tbl>
      <w:tblPr>
        <w:tblStyle w:val="TableGrid1"/>
        <w:tblW w:w="0" w:type="auto"/>
        <w:tblLook w:val="04A0" w:firstRow="1" w:lastRow="0" w:firstColumn="1" w:lastColumn="0" w:noHBand="0" w:noVBand="1"/>
      </w:tblPr>
      <w:tblGrid>
        <w:gridCol w:w="4316"/>
        <w:gridCol w:w="4317"/>
        <w:gridCol w:w="4317"/>
      </w:tblGrid>
      <w:tr w:rsidR="00E54CE6" w:rsidRPr="00E532F9" w14:paraId="3FB947AB" w14:textId="77777777">
        <w:tc>
          <w:tcPr>
            <w:tcW w:w="12950" w:type="dxa"/>
            <w:gridSpan w:val="3"/>
            <w:shd w:val="clear" w:color="auto" w:fill="FFF2CC"/>
          </w:tcPr>
          <w:p w14:paraId="40911AE4" w14:textId="77777777" w:rsidR="00E54CE6" w:rsidRPr="00E532F9" w:rsidRDefault="0016202A">
            <w:pPr>
              <w:rPr>
                <w:rFonts w:eastAsia="Calibri" w:cs="Times New Roman"/>
                <w:b/>
                <w:bCs/>
                <w:sz w:val="24"/>
                <w:szCs w:val="24"/>
                <w:u w:val="single"/>
              </w:rPr>
            </w:pPr>
            <w:r>
              <w:rPr>
                <w:b/>
                <w:bCs/>
                <w:sz w:val="24"/>
                <w:szCs w:val="24"/>
                <w:u w:val="single"/>
              </w:rPr>
              <w:t>Explicación de las Prestaciones Pecuniarias</w:t>
            </w:r>
          </w:p>
          <w:p w14:paraId="19C18668" w14:textId="77777777" w:rsidR="00E54CE6" w:rsidRPr="00E532F9" w:rsidRDefault="00E54CE6">
            <w:pPr>
              <w:rPr>
                <w:rFonts w:eastAsia="Calibri" w:cs="Times New Roman"/>
                <w:b/>
                <w:bCs/>
                <w:sz w:val="24"/>
                <w:szCs w:val="24"/>
                <w:u w:val="single"/>
              </w:rPr>
            </w:pPr>
          </w:p>
          <w:p w14:paraId="304DF4A3" w14:textId="77777777" w:rsidR="00E54CE6" w:rsidRPr="00E532F9" w:rsidRDefault="0016202A">
            <w:pPr>
              <w:numPr>
                <w:ilvl w:val="0"/>
                <w:numId w:val="8"/>
              </w:numPr>
              <w:spacing w:after="240"/>
              <w:jc w:val="both"/>
              <w:rPr>
                <w:rFonts w:eastAsia="Calibri" w:cs="Times New Roman"/>
                <w:sz w:val="24"/>
                <w:szCs w:val="24"/>
              </w:rPr>
            </w:pPr>
            <w:r>
              <w:rPr>
                <w:sz w:val="24"/>
                <w:szCs w:val="24"/>
              </w:rPr>
              <w:t>Los montos de la Prestación Pecuniaria para las Categorías de adultos y mujeres que sufrieron aborto espontáneo se indican como un factor de “AX” o en cifras reales en dólares.</w:t>
            </w:r>
          </w:p>
          <w:p w14:paraId="39AED52D" w14:textId="77777777" w:rsidR="00E54CE6" w:rsidRPr="00E532F9" w:rsidRDefault="0016202A">
            <w:pPr>
              <w:numPr>
                <w:ilvl w:val="0"/>
                <w:numId w:val="8"/>
              </w:numPr>
              <w:spacing w:after="240"/>
              <w:jc w:val="both"/>
              <w:rPr>
                <w:rFonts w:eastAsia="Calibri" w:cs="Times New Roman"/>
                <w:sz w:val="24"/>
                <w:szCs w:val="24"/>
              </w:rPr>
            </w:pPr>
            <w:r>
              <w:rPr>
                <w:sz w:val="24"/>
                <w:szCs w:val="24"/>
              </w:rPr>
              <w:t>Se asignará 15% del Fondo de Indemnización Calificado de los Casos del Agua de Flint al total de todas las Categorías de adultos y mujeres que sufrieron un aborto espontáneo, tal como se describe en la nota al pie 1.</w:t>
            </w:r>
          </w:p>
          <w:p w14:paraId="0334EF86" w14:textId="77777777" w:rsidR="00E54CE6" w:rsidRPr="00E532F9" w:rsidRDefault="0016202A">
            <w:pPr>
              <w:numPr>
                <w:ilvl w:val="0"/>
                <w:numId w:val="8"/>
              </w:numPr>
              <w:spacing w:after="240"/>
              <w:jc w:val="both"/>
              <w:rPr>
                <w:rFonts w:eastAsia="Calibri" w:cs="Times New Roman"/>
              </w:rPr>
            </w:pPr>
            <w:r>
              <w:rPr>
                <w:sz w:val="24"/>
                <w:szCs w:val="24"/>
              </w:rPr>
              <w:t xml:space="preserve">El Administrador de Reclamaciones determinará el monto real de “AX” en dólares después de procesar todas las Reclamaciones (a excepción de las Reclamaciones Futuras del Fondo de Indemnización </w:t>
            </w:r>
            <w:proofErr w:type="spellStart"/>
            <w:r>
              <w:rPr>
                <w:sz w:val="24"/>
                <w:szCs w:val="24"/>
              </w:rPr>
              <w:t>Subcalificado</w:t>
            </w:r>
            <w:proofErr w:type="spellEnd"/>
            <w:r>
              <w:rPr>
                <w:sz w:val="24"/>
                <w:szCs w:val="24"/>
              </w:rPr>
              <w:t xml:space="preserve"> para Menores de Edad), dado que “AX” se basa, en parte, en el número de Reclamantes que reciben las Prestaciones Pecuniarias en cada Categoría respectiva.</w:t>
            </w:r>
          </w:p>
          <w:p w14:paraId="74E8558D" w14:textId="77777777" w:rsidR="00E54CE6" w:rsidRPr="00BE39BF" w:rsidRDefault="0016202A">
            <w:pPr>
              <w:numPr>
                <w:ilvl w:val="0"/>
                <w:numId w:val="8"/>
              </w:numPr>
              <w:spacing w:after="240"/>
              <w:jc w:val="both"/>
              <w:rPr>
                <w:rFonts w:eastAsia="Calibri" w:cs="Times New Roman"/>
              </w:rPr>
            </w:pPr>
            <w:r>
              <w:rPr>
                <w:sz w:val="24"/>
                <w:szCs w:val="24"/>
              </w:rPr>
              <w:t>Si bien se pueden estimar los montos de la Prestación Pecuniaria sobre la base de “AX” antes de que el Administrador de Reclamaciones procese efectivamente todas las Reclamaciones, serán solo estimaciones que están sujetas a un número de variables que no se pueden determinar hasta que se procesen todas las Reclamaciones. Por lo tanto, las Prestaciones Pecuniarias reales podrían variar significativamente de las estimaciones previas de tales prestaciones.</w:t>
            </w:r>
          </w:p>
          <w:p w14:paraId="20D5A8CB" w14:textId="2300E89B" w:rsidR="00BE39BF" w:rsidRPr="00E532F9" w:rsidRDefault="00BE39BF">
            <w:pPr>
              <w:numPr>
                <w:ilvl w:val="0"/>
                <w:numId w:val="8"/>
              </w:numPr>
              <w:spacing w:after="240"/>
              <w:jc w:val="both"/>
              <w:rPr>
                <w:rFonts w:eastAsia="Calibri" w:cs="Times New Roman"/>
              </w:rPr>
            </w:pPr>
          </w:p>
        </w:tc>
      </w:tr>
      <w:tr w:rsidR="00E54CE6" w:rsidRPr="00E532F9" w14:paraId="5E2A918B" w14:textId="77777777">
        <w:tc>
          <w:tcPr>
            <w:tcW w:w="12950" w:type="dxa"/>
            <w:gridSpan w:val="3"/>
            <w:shd w:val="clear" w:color="auto" w:fill="B4C6E7"/>
          </w:tcPr>
          <w:p w14:paraId="41FF4662" w14:textId="77777777" w:rsidR="00E54CE6" w:rsidRPr="00E532F9" w:rsidRDefault="00E54CE6">
            <w:pPr>
              <w:jc w:val="center"/>
              <w:rPr>
                <w:rFonts w:eastAsia="Calibri" w:cs="Times New Roman"/>
                <w:b/>
                <w:sz w:val="24"/>
                <w:szCs w:val="24"/>
                <w:u w:val="single"/>
              </w:rPr>
            </w:pPr>
          </w:p>
          <w:p w14:paraId="793C0094" w14:textId="77777777" w:rsidR="00E54CE6" w:rsidRPr="00E532F9" w:rsidRDefault="0016202A">
            <w:pPr>
              <w:jc w:val="center"/>
              <w:rPr>
                <w:rFonts w:eastAsia="Calibri" w:cs="Times New Roman"/>
                <w:b/>
                <w:caps/>
                <w:sz w:val="24"/>
                <w:szCs w:val="24"/>
                <w:u w:val="single"/>
              </w:rPr>
            </w:pPr>
            <w:r>
              <w:rPr>
                <w:b/>
                <w:caps/>
                <w:sz w:val="24"/>
                <w:szCs w:val="24"/>
                <w:u w:val="single"/>
              </w:rPr>
              <w:t>Categoría 22</w:t>
            </w:r>
          </w:p>
          <w:p w14:paraId="0DEF2BF3" w14:textId="77777777" w:rsidR="00E54CE6" w:rsidRPr="00E532F9" w:rsidRDefault="0016202A">
            <w:pPr>
              <w:autoSpaceDE w:val="0"/>
              <w:autoSpaceDN w:val="0"/>
              <w:adjustRightInd w:val="0"/>
              <w:contextualSpacing/>
              <w:jc w:val="center"/>
              <w:rPr>
                <w:rFonts w:eastAsia="Calibri" w:cs="Times New Roman"/>
                <w:sz w:val="24"/>
                <w:szCs w:val="24"/>
              </w:rPr>
            </w:pPr>
            <w:r>
              <w:rPr>
                <w:sz w:val="24"/>
                <w:szCs w:val="24"/>
                <w:u w:val="single"/>
              </w:rPr>
              <w:t>Adulto</w:t>
            </w:r>
            <w:r>
              <w:rPr>
                <w:sz w:val="24"/>
                <w:szCs w:val="24"/>
              </w:rPr>
              <w:t>, nivel de plomo.</w:t>
            </w:r>
          </w:p>
          <w:p w14:paraId="2B75B842" w14:textId="77777777" w:rsidR="00E54CE6" w:rsidRPr="00E532F9" w:rsidRDefault="00E54CE6">
            <w:pPr>
              <w:autoSpaceDE w:val="0"/>
              <w:autoSpaceDN w:val="0"/>
              <w:adjustRightInd w:val="0"/>
              <w:contextualSpacing/>
              <w:jc w:val="center"/>
              <w:rPr>
                <w:rFonts w:eastAsia="Calibri" w:cs="Times New Roman"/>
                <w:b/>
                <w:sz w:val="24"/>
                <w:szCs w:val="24"/>
                <w:u w:val="single"/>
              </w:rPr>
            </w:pPr>
          </w:p>
        </w:tc>
      </w:tr>
      <w:tr w:rsidR="00E54CE6" w:rsidRPr="00E532F9" w14:paraId="647A597B" w14:textId="77777777">
        <w:tc>
          <w:tcPr>
            <w:tcW w:w="4316" w:type="dxa"/>
          </w:tcPr>
          <w:p w14:paraId="221E6BF9" w14:textId="77777777" w:rsidR="00E54CE6" w:rsidRPr="00E532F9" w:rsidRDefault="0016202A">
            <w:pPr>
              <w:jc w:val="center"/>
              <w:rPr>
                <w:rFonts w:eastAsia="Calibri" w:cs="Times New Roman"/>
                <w:b/>
                <w:bCs/>
                <w:sz w:val="24"/>
                <w:szCs w:val="24"/>
                <w:u w:val="single"/>
              </w:rPr>
            </w:pPr>
            <w:r>
              <w:rPr>
                <w:b/>
                <w:bCs/>
                <w:sz w:val="24"/>
                <w:szCs w:val="24"/>
                <w:u w:val="single"/>
              </w:rPr>
              <w:t>Descripción de la Categoría</w:t>
            </w:r>
          </w:p>
          <w:p w14:paraId="0420E735" w14:textId="77777777" w:rsidR="00E54CE6" w:rsidRPr="00E532F9" w:rsidRDefault="00E54CE6">
            <w:pPr>
              <w:jc w:val="both"/>
              <w:rPr>
                <w:rFonts w:eastAsia="Calibri" w:cs="Times New Roman"/>
                <w:i/>
                <w:iCs/>
                <w:sz w:val="24"/>
                <w:szCs w:val="24"/>
              </w:rPr>
            </w:pPr>
          </w:p>
          <w:p w14:paraId="7D52951F" w14:textId="77777777" w:rsidR="00E54CE6" w:rsidRPr="00E532F9" w:rsidRDefault="0016202A">
            <w:pPr>
              <w:jc w:val="both"/>
              <w:rPr>
                <w:rFonts w:eastAsia="Calibri" w:cs="Times New Roman"/>
                <w:b/>
                <w:iCs/>
                <w:sz w:val="24"/>
                <w:szCs w:val="24"/>
                <w:u w:val="single"/>
              </w:rPr>
            </w:pPr>
            <w:r>
              <w:rPr>
                <w:b/>
                <w:iCs/>
                <w:sz w:val="24"/>
                <w:szCs w:val="24"/>
                <w:u w:val="single"/>
              </w:rPr>
              <w:t>Nivel de Plomo</w:t>
            </w:r>
          </w:p>
          <w:p w14:paraId="642FC14B" w14:textId="77777777" w:rsidR="00E54CE6" w:rsidRPr="00E532F9" w:rsidRDefault="0016202A">
            <w:pPr>
              <w:jc w:val="both"/>
              <w:rPr>
                <w:rFonts w:eastAsia="Calibri" w:cs="Times New Roman"/>
                <w:sz w:val="24"/>
                <w:szCs w:val="24"/>
              </w:rPr>
            </w:pPr>
            <w:r>
              <w:rPr>
                <w:iCs/>
                <w:sz w:val="24"/>
                <w:szCs w:val="24"/>
              </w:rPr>
              <w:t>Personas de 18 años o más en el momento de la primera exposición quienes:</w:t>
            </w:r>
          </w:p>
          <w:p w14:paraId="17173DFA" w14:textId="77777777" w:rsidR="00E54CE6" w:rsidRPr="00E532F9" w:rsidRDefault="00E54CE6">
            <w:pPr>
              <w:jc w:val="both"/>
              <w:rPr>
                <w:rFonts w:eastAsia="Calibri" w:cs="Times New Roman"/>
                <w:sz w:val="24"/>
                <w:szCs w:val="24"/>
              </w:rPr>
            </w:pPr>
          </w:p>
          <w:p w14:paraId="71B17097" w14:textId="77777777" w:rsidR="00E54CE6" w:rsidRPr="00E532F9" w:rsidRDefault="0016202A">
            <w:pPr>
              <w:jc w:val="both"/>
              <w:rPr>
                <w:rFonts w:eastAsia="Calibri" w:cs="Times New Roman"/>
                <w:sz w:val="24"/>
                <w:szCs w:val="24"/>
              </w:rPr>
            </w:pPr>
            <w:r>
              <w:rPr>
                <w:sz w:val="24"/>
                <w:szCs w:val="24"/>
              </w:rPr>
              <w:t>(1) Por al menos 21 días durante cualquier período de 30 días entre el 25 de abril de 2014 y el 31 de julio de 2016;</w:t>
            </w:r>
          </w:p>
          <w:p w14:paraId="3F3949B7" w14:textId="77777777" w:rsidR="00E54CE6" w:rsidRPr="00E532F9" w:rsidRDefault="00E54CE6">
            <w:pPr>
              <w:jc w:val="both"/>
              <w:rPr>
                <w:rFonts w:eastAsia="Calibri" w:cs="Times New Roman"/>
                <w:sz w:val="24"/>
                <w:szCs w:val="24"/>
              </w:rPr>
            </w:pPr>
          </w:p>
          <w:p w14:paraId="13CDCADF" w14:textId="77777777" w:rsidR="00E54CE6" w:rsidRPr="00E532F9" w:rsidRDefault="0016202A">
            <w:pPr>
              <w:jc w:val="both"/>
              <w:rPr>
                <w:rFonts w:eastAsia="Calibri" w:cs="Times New Roman"/>
                <w:b/>
                <w:sz w:val="24"/>
                <w:szCs w:val="24"/>
                <w:u w:val="single"/>
              </w:rPr>
            </w:pPr>
            <w:r>
              <w:rPr>
                <w:sz w:val="24"/>
                <w:szCs w:val="24"/>
              </w:rPr>
              <w:t xml:space="preserve">(2) Residieron, habitaron o asistieron a la escuela o trabajaron en Flint, o estuvieron expuestas de alguna forma al agua de Flint; </w:t>
            </w:r>
            <w:r>
              <w:rPr>
                <w:b/>
                <w:sz w:val="24"/>
                <w:szCs w:val="24"/>
                <w:u w:val="single"/>
              </w:rPr>
              <w:t>y</w:t>
            </w:r>
          </w:p>
          <w:p w14:paraId="58EC9B3C" w14:textId="77777777" w:rsidR="00E54CE6" w:rsidRPr="00E532F9" w:rsidRDefault="00E54CE6">
            <w:pPr>
              <w:jc w:val="both"/>
              <w:rPr>
                <w:rFonts w:eastAsia="Calibri" w:cs="Times New Roman"/>
                <w:sz w:val="24"/>
                <w:szCs w:val="24"/>
              </w:rPr>
            </w:pPr>
          </w:p>
          <w:p w14:paraId="080C3EEB" w14:textId="77777777" w:rsidR="00E54CE6" w:rsidRPr="00E532F9" w:rsidRDefault="0016202A">
            <w:pPr>
              <w:jc w:val="both"/>
              <w:rPr>
                <w:rFonts w:eastAsia="Calibri" w:cs="Times New Roman"/>
                <w:sz w:val="24"/>
                <w:szCs w:val="24"/>
              </w:rPr>
            </w:pPr>
            <w:r>
              <w:rPr>
                <w:sz w:val="24"/>
                <w:szCs w:val="24"/>
              </w:rPr>
              <w:t xml:space="preserve">(3) Obtuvieron un resultado de 10.0 </w:t>
            </w:r>
            <w:proofErr w:type="spellStart"/>
            <w:r>
              <w:rPr>
                <w:sz w:val="24"/>
                <w:szCs w:val="24"/>
              </w:rPr>
              <w:t>mcg</w:t>
            </w:r>
            <w:proofErr w:type="spellEnd"/>
            <w:r>
              <w:rPr>
                <w:sz w:val="24"/>
                <w:szCs w:val="24"/>
              </w:rPr>
              <w:t>/</w:t>
            </w:r>
            <w:proofErr w:type="spellStart"/>
            <w:r>
              <w:rPr>
                <w:sz w:val="24"/>
                <w:szCs w:val="24"/>
              </w:rPr>
              <w:t>dL</w:t>
            </w:r>
            <w:proofErr w:type="spellEnd"/>
            <w:r>
              <w:rPr>
                <w:sz w:val="24"/>
                <w:szCs w:val="24"/>
              </w:rPr>
              <w:t xml:space="preserve"> o superior en una prueba de nivel de plomo en la sangre realizada entre el 16 de mayo de 2014 y el 31 de agosto de 2016; </w:t>
            </w:r>
            <w:r>
              <w:rPr>
                <w:b/>
                <w:sz w:val="24"/>
                <w:szCs w:val="24"/>
                <w:u w:val="single"/>
              </w:rPr>
              <w:t xml:space="preserve">o </w:t>
            </w:r>
            <w:r>
              <w:rPr>
                <w:sz w:val="24"/>
                <w:szCs w:val="24"/>
              </w:rPr>
              <w:t xml:space="preserve">un resultado de 10.0 </w:t>
            </w:r>
            <w:proofErr w:type="spellStart"/>
            <w:r>
              <w:rPr>
                <w:sz w:val="24"/>
                <w:szCs w:val="24"/>
              </w:rPr>
              <w:t>ug</w:t>
            </w:r>
            <w:proofErr w:type="spellEnd"/>
            <w:r>
              <w:rPr>
                <w:sz w:val="24"/>
                <w:szCs w:val="24"/>
              </w:rPr>
              <w:t>/G o superior en la prueba de cuantificación de plomo in vivo en los huesos de una persona realizada entre el 16 de mayo de 2014 y los 90 días posteriores a la fecha de la Orden de Aprobación Preliminar.</w:t>
            </w:r>
          </w:p>
          <w:p w14:paraId="42728E7B" w14:textId="77777777" w:rsidR="00E54CE6" w:rsidRDefault="00E54CE6">
            <w:pPr>
              <w:jc w:val="both"/>
              <w:rPr>
                <w:rFonts w:eastAsia="Calibri" w:cs="Times New Roman"/>
                <w:sz w:val="24"/>
                <w:szCs w:val="24"/>
              </w:rPr>
            </w:pPr>
          </w:p>
          <w:p w14:paraId="4C1D9F08" w14:textId="77777777" w:rsidR="00BE39BF" w:rsidRDefault="00BE39BF">
            <w:pPr>
              <w:jc w:val="both"/>
              <w:rPr>
                <w:rFonts w:eastAsia="Calibri" w:cs="Times New Roman"/>
                <w:sz w:val="24"/>
                <w:szCs w:val="24"/>
              </w:rPr>
            </w:pPr>
          </w:p>
          <w:p w14:paraId="4740891A" w14:textId="77777777" w:rsidR="00BE39BF" w:rsidRDefault="00BE39BF">
            <w:pPr>
              <w:jc w:val="both"/>
              <w:rPr>
                <w:rFonts w:eastAsia="Calibri" w:cs="Times New Roman"/>
                <w:sz w:val="24"/>
                <w:szCs w:val="24"/>
              </w:rPr>
            </w:pPr>
          </w:p>
          <w:p w14:paraId="58D662FC" w14:textId="276ACCD3" w:rsidR="00BE39BF" w:rsidRPr="00E532F9" w:rsidRDefault="00BE39BF">
            <w:pPr>
              <w:jc w:val="both"/>
              <w:rPr>
                <w:rFonts w:eastAsia="Calibri" w:cs="Times New Roman"/>
                <w:sz w:val="24"/>
                <w:szCs w:val="24"/>
              </w:rPr>
            </w:pPr>
          </w:p>
        </w:tc>
        <w:tc>
          <w:tcPr>
            <w:tcW w:w="4317" w:type="dxa"/>
          </w:tcPr>
          <w:p w14:paraId="33A03E6E" w14:textId="77777777" w:rsidR="00E54CE6" w:rsidRPr="00E532F9" w:rsidRDefault="0016202A">
            <w:pPr>
              <w:jc w:val="center"/>
              <w:rPr>
                <w:rFonts w:eastAsia="Calibri" w:cs="Times New Roman"/>
                <w:b/>
                <w:color w:val="0070C0"/>
                <w:sz w:val="24"/>
                <w:szCs w:val="24"/>
              </w:rPr>
            </w:pPr>
            <w:r>
              <w:rPr>
                <w:b/>
                <w:color w:val="0D0D0D"/>
                <w:sz w:val="24"/>
                <w:szCs w:val="24"/>
                <w:u w:val="single"/>
              </w:rPr>
              <w:t>Prestaciones Pecuniarias</w:t>
            </w:r>
          </w:p>
          <w:p w14:paraId="2587D67B" w14:textId="77777777" w:rsidR="00E54CE6" w:rsidRPr="00E532F9" w:rsidRDefault="00E54CE6">
            <w:pPr>
              <w:jc w:val="center"/>
              <w:rPr>
                <w:rFonts w:eastAsia="Calibri" w:cs="Times New Roman"/>
                <w:b/>
                <w:color w:val="0070C0"/>
                <w:sz w:val="24"/>
                <w:szCs w:val="24"/>
              </w:rPr>
            </w:pPr>
          </w:p>
          <w:p w14:paraId="673C0253" w14:textId="77777777" w:rsidR="00E54CE6" w:rsidRPr="00E532F9" w:rsidRDefault="0016202A">
            <w:pPr>
              <w:jc w:val="center"/>
              <w:rPr>
                <w:rFonts w:eastAsia="Calibri" w:cs="Times New Roman"/>
                <w:b/>
                <w:color w:val="0070C0"/>
                <w:sz w:val="24"/>
                <w:szCs w:val="24"/>
              </w:rPr>
            </w:pPr>
            <w:r>
              <w:rPr>
                <w:b/>
                <w:color w:val="0070C0"/>
                <w:sz w:val="24"/>
                <w:szCs w:val="24"/>
              </w:rPr>
              <w:t>2AX</w:t>
            </w:r>
          </w:p>
          <w:p w14:paraId="04321B99" w14:textId="77777777" w:rsidR="00E54CE6" w:rsidRPr="00E532F9" w:rsidRDefault="00E54CE6">
            <w:pPr>
              <w:rPr>
                <w:rFonts w:eastAsia="Calibri" w:cs="Times New Roman"/>
                <w:b/>
                <w:color w:val="0070C0"/>
                <w:sz w:val="24"/>
                <w:szCs w:val="24"/>
              </w:rPr>
            </w:pPr>
          </w:p>
          <w:p w14:paraId="11597036" w14:textId="77777777" w:rsidR="00E54CE6" w:rsidRPr="00E532F9" w:rsidRDefault="00E54CE6">
            <w:pPr>
              <w:jc w:val="both"/>
              <w:rPr>
                <w:rFonts w:eastAsia="Calibri" w:cs="Times New Roman"/>
                <w:b/>
                <w:color w:val="0070C0"/>
                <w:sz w:val="24"/>
                <w:szCs w:val="24"/>
              </w:rPr>
            </w:pPr>
          </w:p>
          <w:p w14:paraId="2F3280DD" w14:textId="77777777" w:rsidR="00E54CE6" w:rsidRPr="00E532F9" w:rsidRDefault="00E54CE6">
            <w:pPr>
              <w:jc w:val="both"/>
              <w:rPr>
                <w:rFonts w:eastAsia="Calibri" w:cs="Times New Roman"/>
                <w:b/>
                <w:color w:val="0070C0"/>
                <w:sz w:val="24"/>
                <w:szCs w:val="24"/>
              </w:rPr>
            </w:pPr>
          </w:p>
        </w:tc>
        <w:tc>
          <w:tcPr>
            <w:tcW w:w="4317" w:type="dxa"/>
          </w:tcPr>
          <w:p w14:paraId="3F866F6F" w14:textId="77777777" w:rsidR="00E54CE6" w:rsidRPr="00E532F9" w:rsidRDefault="0016202A">
            <w:pPr>
              <w:jc w:val="center"/>
              <w:rPr>
                <w:rFonts w:eastAsia="Calibri" w:cs="Times New Roman"/>
                <w:sz w:val="24"/>
                <w:szCs w:val="24"/>
                <w:u w:val="single"/>
              </w:rPr>
            </w:pPr>
            <w:r>
              <w:rPr>
                <w:b/>
                <w:color w:val="0D0D0D"/>
                <w:sz w:val="24"/>
                <w:szCs w:val="24"/>
                <w:u w:val="single"/>
              </w:rPr>
              <w:t>Pruebas Exigidas</w:t>
            </w:r>
          </w:p>
          <w:p w14:paraId="236DC44D" w14:textId="77777777" w:rsidR="00E54CE6" w:rsidRPr="00E532F9" w:rsidRDefault="00E54CE6">
            <w:pPr>
              <w:jc w:val="both"/>
              <w:rPr>
                <w:rFonts w:eastAsia="Calibri" w:cs="Times New Roman"/>
                <w:sz w:val="24"/>
                <w:szCs w:val="24"/>
                <w:u w:val="single"/>
              </w:rPr>
            </w:pPr>
          </w:p>
          <w:p w14:paraId="451082AF" w14:textId="77777777" w:rsidR="00E54CE6" w:rsidRPr="00E532F9" w:rsidRDefault="0016202A">
            <w:pPr>
              <w:jc w:val="both"/>
              <w:rPr>
                <w:rFonts w:eastAsia="Calibri" w:cs="Times New Roman"/>
                <w:sz w:val="24"/>
                <w:szCs w:val="24"/>
              </w:rPr>
            </w:pPr>
            <w:r>
              <w:rPr>
                <w:sz w:val="24"/>
                <w:szCs w:val="24"/>
                <w:u w:val="single"/>
              </w:rPr>
              <w:t>Pruebas en la sangre o en los huesos</w:t>
            </w:r>
            <w:r>
              <w:rPr>
                <w:sz w:val="24"/>
                <w:szCs w:val="24"/>
              </w:rPr>
              <w:t>: tal como se describe en las pruebas exigidas para la Categoría 1.</w:t>
            </w:r>
          </w:p>
          <w:p w14:paraId="25723CB5" w14:textId="77777777" w:rsidR="00E54CE6" w:rsidRPr="00E532F9" w:rsidRDefault="00E54CE6">
            <w:pPr>
              <w:jc w:val="both"/>
              <w:rPr>
                <w:rFonts w:eastAsia="Calibri" w:cs="Times New Roman"/>
                <w:sz w:val="24"/>
                <w:szCs w:val="24"/>
              </w:rPr>
            </w:pPr>
          </w:p>
          <w:p w14:paraId="2A8FAA05" w14:textId="77777777" w:rsidR="00E54CE6" w:rsidRPr="00E532F9" w:rsidRDefault="00E54CE6">
            <w:pPr>
              <w:jc w:val="both"/>
              <w:rPr>
                <w:rFonts w:eastAsia="Calibri" w:cs="Times New Roman"/>
              </w:rPr>
            </w:pPr>
          </w:p>
        </w:tc>
      </w:tr>
      <w:tr w:rsidR="00E54CE6" w:rsidRPr="00E532F9" w14:paraId="7E8C9B65" w14:textId="77777777">
        <w:tc>
          <w:tcPr>
            <w:tcW w:w="12950" w:type="dxa"/>
            <w:gridSpan w:val="3"/>
            <w:shd w:val="clear" w:color="auto" w:fill="B4C6E7"/>
          </w:tcPr>
          <w:p w14:paraId="44C7B174" w14:textId="77777777" w:rsidR="00E54CE6" w:rsidRPr="00E532F9" w:rsidRDefault="00E54CE6">
            <w:pPr>
              <w:jc w:val="center"/>
              <w:rPr>
                <w:rFonts w:eastAsia="Calibri" w:cs="Times New Roman"/>
                <w:b/>
                <w:sz w:val="24"/>
                <w:szCs w:val="24"/>
                <w:u w:val="single"/>
              </w:rPr>
            </w:pPr>
          </w:p>
          <w:p w14:paraId="3BEF8CF4" w14:textId="77777777" w:rsidR="00E54CE6" w:rsidRPr="00E532F9" w:rsidRDefault="0016202A">
            <w:pPr>
              <w:jc w:val="center"/>
              <w:rPr>
                <w:rFonts w:eastAsia="Calibri" w:cs="Times New Roman"/>
                <w:b/>
                <w:caps/>
                <w:sz w:val="24"/>
                <w:szCs w:val="24"/>
                <w:u w:val="single"/>
              </w:rPr>
            </w:pPr>
            <w:r>
              <w:rPr>
                <w:b/>
                <w:caps/>
                <w:sz w:val="24"/>
                <w:szCs w:val="24"/>
                <w:u w:val="single"/>
              </w:rPr>
              <w:t>Categoría 23</w:t>
            </w:r>
          </w:p>
          <w:p w14:paraId="6FFF3000" w14:textId="77777777" w:rsidR="00E54CE6" w:rsidRPr="00E532F9" w:rsidRDefault="0016202A">
            <w:pPr>
              <w:autoSpaceDE w:val="0"/>
              <w:autoSpaceDN w:val="0"/>
              <w:adjustRightInd w:val="0"/>
              <w:contextualSpacing/>
              <w:jc w:val="center"/>
              <w:rPr>
                <w:rFonts w:eastAsia="Calibri" w:cs="Times New Roman"/>
                <w:sz w:val="24"/>
                <w:szCs w:val="24"/>
              </w:rPr>
            </w:pPr>
            <w:r>
              <w:rPr>
                <w:sz w:val="24"/>
                <w:szCs w:val="24"/>
                <w:u w:val="single"/>
              </w:rPr>
              <w:t>Adulto</w:t>
            </w:r>
            <w:r>
              <w:rPr>
                <w:sz w:val="24"/>
                <w:szCs w:val="24"/>
              </w:rPr>
              <w:t>, nivel de plomo o lesión personal grave.</w:t>
            </w:r>
          </w:p>
          <w:p w14:paraId="2BE15528" w14:textId="77777777" w:rsidR="00E54CE6" w:rsidRPr="00E532F9" w:rsidRDefault="00E54CE6">
            <w:pPr>
              <w:autoSpaceDE w:val="0"/>
              <w:autoSpaceDN w:val="0"/>
              <w:adjustRightInd w:val="0"/>
              <w:contextualSpacing/>
              <w:jc w:val="center"/>
              <w:rPr>
                <w:rFonts w:eastAsia="Calibri" w:cs="Times New Roman"/>
                <w:b/>
                <w:sz w:val="24"/>
                <w:szCs w:val="24"/>
                <w:u w:val="single"/>
              </w:rPr>
            </w:pPr>
          </w:p>
        </w:tc>
      </w:tr>
      <w:tr w:rsidR="00E54CE6" w:rsidRPr="00E532F9" w14:paraId="3B8C281B" w14:textId="77777777">
        <w:tc>
          <w:tcPr>
            <w:tcW w:w="4316" w:type="dxa"/>
          </w:tcPr>
          <w:p w14:paraId="733276E9" w14:textId="77777777" w:rsidR="00E54CE6" w:rsidRPr="00E532F9" w:rsidRDefault="0016202A">
            <w:pPr>
              <w:jc w:val="center"/>
              <w:rPr>
                <w:rFonts w:eastAsia="Calibri" w:cs="Times New Roman"/>
                <w:b/>
                <w:bCs/>
                <w:sz w:val="24"/>
                <w:szCs w:val="24"/>
                <w:u w:val="single"/>
              </w:rPr>
            </w:pPr>
            <w:r>
              <w:rPr>
                <w:b/>
                <w:bCs/>
                <w:sz w:val="24"/>
                <w:szCs w:val="24"/>
                <w:u w:val="single"/>
              </w:rPr>
              <w:t>Descripción de la Categoría</w:t>
            </w:r>
          </w:p>
          <w:p w14:paraId="7208C758" w14:textId="77777777" w:rsidR="00E54CE6" w:rsidRPr="00E532F9" w:rsidRDefault="00E54CE6">
            <w:pPr>
              <w:jc w:val="both"/>
              <w:rPr>
                <w:rFonts w:eastAsia="Calibri" w:cs="Times New Roman"/>
                <w:i/>
                <w:iCs/>
                <w:sz w:val="24"/>
                <w:szCs w:val="24"/>
              </w:rPr>
            </w:pPr>
          </w:p>
          <w:p w14:paraId="55D4812A" w14:textId="77777777" w:rsidR="00E54CE6" w:rsidRPr="00E532F9" w:rsidRDefault="0016202A">
            <w:pPr>
              <w:jc w:val="both"/>
              <w:rPr>
                <w:rFonts w:eastAsia="Calibri" w:cs="Times New Roman"/>
                <w:b/>
                <w:iCs/>
                <w:sz w:val="24"/>
                <w:szCs w:val="24"/>
                <w:u w:val="single"/>
              </w:rPr>
            </w:pPr>
            <w:r>
              <w:rPr>
                <w:b/>
                <w:iCs/>
                <w:sz w:val="24"/>
                <w:szCs w:val="24"/>
                <w:u w:val="single"/>
              </w:rPr>
              <w:t>Nivel de Plomo</w:t>
            </w:r>
          </w:p>
          <w:p w14:paraId="546C0E62" w14:textId="77777777" w:rsidR="00E54CE6" w:rsidRPr="00E532F9" w:rsidRDefault="0016202A">
            <w:pPr>
              <w:jc w:val="both"/>
              <w:rPr>
                <w:rFonts w:eastAsia="Calibri" w:cs="Times New Roman"/>
                <w:sz w:val="24"/>
                <w:szCs w:val="24"/>
              </w:rPr>
            </w:pPr>
            <w:r>
              <w:rPr>
                <w:iCs/>
                <w:sz w:val="24"/>
                <w:szCs w:val="24"/>
              </w:rPr>
              <w:t>Personas de 18 años o más en el momento de la primera exposición quienes:</w:t>
            </w:r>
          </w:p>
          <w:p w14:paraId="5070B58B" w14:textId="77777777" w:rsidR="00E54CE6" w:rsidRPr="00E532F9" w:rsidRDefault="00E54CE6">
            <w:pPr>
              <w:jc w:val="both"/>
              <w:rPr>
                <w:rFonts w:eastAsia="Calibri" w:cs="Times New Roman"/>
                <w:sz w:val="24"/>
                <w:szCs w:val="24"/>
              </w:rPr>
            </w:pPr>
          </w:p>
          <w:p w14:paraId="0EF17D93" w14:textId="77777777" w:rsidR="00E54CE6" w:rsidRPr="00E532F9" w:rsidRDefault="0016202A">
            <w:pPr>
              <w:jc w:val="both"/>
              <w:rPr>
                <w:rFonts w:eastAsia="Calibri" w:cs="Times New Roman"/>
                <w:sz w:val="24"/>
                <w:szCs w:val="24"/>
              </w:rPr>
            </w:pPr>
            <w:r>
              <w:rPr>
                <w:sz w:val="24"/>
                <w:szCs w:val="24"/>
              </w:rPr>
              <w:t>(1) Por al menos 21 días durante cualquier período de 30 días entre el 25 de abril de 2014 y el 31 de julio de 2016;</w:t>
            </w:r>
          </w:p>
          <w:p w14:paraId="616B2F57" w14:textId="77777777" w:rsidR="00E54CE6" w:rsidRPr="00E532F9" w:rsidRDefault="00E54CE6">
            <w:pPr>
              <w:jc w:val="both"/>
              <w:rPr>
                <w:rFonts w:eastAsia="Calibri" w:cs="Times New Roman"/>
                <w:sz w:val="24"/>
                <w:szCs w:val="24"/>
              </w:rPr>
            </w:pPr>
          </w:p>
          <w:p w14:paraId="68040C9F" w14:textId="77777777" w:rsidR="00E54CE6" w:rsidRPr="00E532F9" w:rsidRDefault="0016202A">
            <w:pPr>
              <w:jc w:val="both"/>
              <w:rPr>
                <w:rFonts w:eastAsia="Calibri" w:cs="Times New Roman"/>
                <w:b/>
                <w:sz w:val="24"/>
                <w:szCs w:val="24"/>
                <w:u w:val="single"/>
              </w:rPr>
            </w:pPr>
            <w:r>
              <w:rPr>
                <w:sz w:val="24"/>
                <w:szCs w:val="24"/>
              </w:rPr>
              <w:t xml:space="preserve">(2) Residieron, habitaron o asistieron a la escuela o trabajaron en Flint, o estuvieron expuestas de alguna forma al agua de Flint; </w:t>
            </w:r>
            <w:r>
              <w:rPr>
                <w:b/>
                <w:sz w:val="24"/>
                <w:szCs w:val="24"/>
                <w:u w:val="single"/>
              </w:rPr>
              <w:t>y</w:t>
            </w:r>
          </w:p>
          <w:p w14:paraId="7E651ECD" w14:textId="77777777" w:rsidR="00E54CE6" w:rsidRPr="00E532F9" w:rsidRDefault="00E54CE6">
            <w:pPr>
              <w:jc w:val="both"/>
              <w:rPr>
                <w:rFonts w:eastAsia="Calibri" w:cs="Times New Roman"/>
                <w:sz w:val="24"/>
                <w:szCs w:val="24"/>
              </w:rPr>
            </w:pPr>
          </w:p>
          <w:p w14:paraId="085BA606" w14:textId="77777777" w:rsidR="00E54CE6" w:rsidRPr="00E532F9" w:rsidRDefault="0016202A">
            <w:pPr>
              <w:jc w:val="both"/>
              <w:rPr>
                <w:rFonts w:eastAsia="Calibri" w:cs="Times New Roman"/>
                <w:sz w:val="24"/>
                <w:szCs w:val="24"/>
              </w:rPr>
            </w:pPr>
            <w:r>
              <w:rPr>
                <w:sz w:val="24"/>
                <w:szCs w:val="24"/>
              </w:rPr>
              <w:t xml:space="preserve">(3) Obtuvieron un resultado de o entre 5.0 y 9.9 </w:t>
            </w:r>
            <w:proofErr w:type="spellStart"/>
            <w:r>
              <w:rPr>
                <w:sz w:val="24"/>
                <w:szCs w:val="24"/>
              </w:rPr>
              <w:t>mcg</w:t>
            </w:r>
            <w:proofErr w:type="spellEnd"/>
            <w:r>
              <w:rPr>
                <w:sz w:val="24"/>
                <w:szCs w:val="24"/>
              </w:rPr>
              <w:t>/</w:t>
            </w:r>
            <w:proofErr w:type="spellStart"/>
            <w:r>
              <w:rPr>
                <w:sz w:val="24"/>
                <w:szCs w:val="24"/>
              </w:rPr>
              <w:t>dL</w:t>
            </w:r>
            <w:proofErr w:type="spellEnd"/>
            <w:r>
              <w:rPr>
                <w:sz w:val="24"/>
                <w:szCs w:val="24"/>
              </w:rPr>
              <w:t xml:space="preserve"> en una prueba de nivel de plomo en la sangre realizada entre el 16 de mayo de 2014 y el 31 de agosto de 2016; </w:t>
            </w:r>
            <w:r>
              <w:rPr>
                <w:b/>
                <w:sz w:val="24"/>
                <w:szCs w:val="24"/>
                <w:u w:val="single"/>
              </w:rPr>
              <w:t xml:space="preserve">o </w:t>
            </w:r>
            <w:r>
              <w:rPr>
                <w:sz w:val="24"/>
                <w:szCs w:val="24"/>
              </w:rPr>
              <w:t xml:space="preserve">un resultado de o entre 5.0 y 9.9 </w:t>
            </w:r>
            <w:proofErr w:type="spellStart"/>
            <w:r>
              <w:rPr>
                <w:sz w:val="24"/>
                <w:szCs w:val="24"/>
              </w:rPr>
              <w:t>ug</w:t>
            </w:r>
            <w:proofErr w:type="spellEnd"/>
            <w:r>
              <w:rPr>
                <w:sz w:val="24"/>
                <w:szCs w:val="24"/>
              </w:rPr>
              <w:t>/G en la prueba de cuantificación de plomo in vivo en los huesos de una persona realizada entre el 16 de mayo de 2014 y los 90 días posteriores a la fecha de la Orden de Aprobación Preliminar.</w:t>
            </w:r>
          </w:p>
          <w:p w14:paraId="3EFCD7EC" w14:textId="77777777" w:rsidR="00E54CE6" w:rsidRPr="00E532F9" w:rsidRDefault="00E54CE6">
            <w:pPr>
              <w:jc w:val="both"/>
              <w:rPr>
                <w:rFonts w:eastAsia="Calibri" w:cs="Times New Roman"/>
                <w:sz w:val="24"/>
                <w:szCs w:val="24"/>
              </w:rPr>
            </w:pPr>
          </w:p>
          <w:p w14:paraId="04F444DE" w14:textId="77777777" w:rsidR="00E54CE6" w:rsidRPr="00E532F9" w:rsidRDefault="0016202A">
            <w:pPr>
              <w:rPr>
                <w:rFonts w:eastAsia="Calibri" w:cs="Times New Roman"/>
                <w:b/>
                <w:u w:val="single"/>
              </w:rPr>
            </w:pPr>
            <w:r>
              <w:rPr>
                <w:b/>
                <w:u w:val="single"/>
              </w:rPr>
              <w:t>O</w:t>
            </w:r>
          </w:p>
          <w:p w14:paraId="2A029ABE" w14:textId="77777777" w:rsidR="00E54CE6" w:rsidRPr="00E532F9" w:rsidRDefault="00E54CE6">
            <w:pPr>
              <w:rPr>
                <w:rFonts w:eastAsia="Calibri" w:cs="Times New Roman"/>
                <w:b/>
                <w:u w:val="single"/>
              </w:rPr>
            </w:pPr>
          </w:p>
          <w:p w14:paraId="40F7374D" w14:textId="77777777" w:rsidR="00E54CE6" w:rsidRPr="00E532F9" w:rsidRDefault="00E54CE6">
            <w:pPr>
              <w:rPr>
                <w:rFonts w:eastAsia="Calibri" w:cs="Times New Roman"/>
                <w:b/>
                <w:sz w:val="24"/>
                <w:szCs w:val="24"/>
                <w:u w:val="single"/>
              </w:rPr>
            </w:pPr>
          </w:p>
          <w:p w14:paraId="67115B5D" w14:textId="77777777" w:rsidR="00E54CE6" w:rsidRPr="00E532F9" w:rsidRDefault="0016202A">
            <w:pPr>
              <w:rPr>
                <w:rFonts w:eastAsia="Calibri" w:cs="Times New Roman"/>
                <w:b/>
                <w:sz w:val="24"/>
                <w:szCs w:val="24"/>
                <w:u w:val="single"/>
              </w:rPr>
            </w:pPr>
            <w:r>
              <w:rPr>
                <w:b/>
                <w:sz w:val="24"/>
                <w:szCs w:val="24"/>
                <w:u w:val="single"/>
              </w:rPr>
              <w:t>Lesión Personal Grave</w:t>
            </w:r>
          </w:p>
          <w:p w14:paraId="1FEAE930" w14:textId="77777777" w:rsidR="00E54CE6" w:rsidRPr="00E532F9" w:rsidRDefault="0016202A">
            <w:pPr>
              <w:jc w:val="both"/>
              <w:rPr>
                <w:rFonts w:eastAsia="Calibri" w:cs="Times New Roman"/>
                <w:sz w:val="24"/>
                <w:szCs w:val="24"/>
              </w:rPr>
            </w:pPr>
            <w:r>
              <w:rPr>
                <w:iCs/>
                <w:sz w:val="24"/>
                <w:szCs w:val="24"/>
              </w:rPr>
              <w:t>Personas de 18 años o más en el momento de la primera exposición quienes:</w:t>
            </w:r>
          </w:p>
          <w:p w14:paraId="12008738" w14:textId="77777777" w:rsidR="00E54CE6" w:rsidRPr="00E532F9" w:rsidRDefault="00E54CE6">
            <w:pPr>
              <w:jc w:val="both"/>
              <w:rPr>
                <w:rFonts w:eastAsia="Calibri" w:cs="Times New Roman"/>
                <w:sz w:val="24"/>
                <w:szCs w:val="24"/>
              </w:rPr>
            </w:pPr>
          </w:p>
          <w:p w14:paraId="39502C56" w14:textId="77777777" w:rsidR="00E54CE6" w:rsidRPr="00E532F9" w:rsidRDefault="0016202A">
            <w:pPr>
              <w:jc w:val="both"/>
              <w:rPr>
                <w:rFonts w:eastAsia="Calibri" w:cs="Times New Roman"/>
                <w:sz w:val="24"/>
                <w:szCs w:val="24"/>
              </w:rPr>
            </w:pPr>
            <w:r>
              <w:rPr>
                <w:sz w:val="24"/>
                <w:szCs w:val="24"/>
              </w:rPr>
              <w:t>(1) Por al menos 21 días durante cualquier período de 30 días entre el 25 de abril de 2014 y el 31 de julio de 2016;</w:t>
            </w:r>
          </w:p>
          <w:p w14:paraId="53C1B389" w14:textId="77777777" w:rsidR="00E54CE6" w:rsidRPr="00E532F9" w:rsidRDefault="00E54CE6">
            <w:pPr>
              <w:jc w:val="both"/>
              <w:rPr>
                <w:rFonts w:eastAsia="Calibri" w:cs="Times New Roman"/>
                <w:sz w:val="24"/>
                <w:szCs w:val="24"/>
              </w:rPr>
            </w:pPr>
          </w:p>
          <w:p w14:paraId="491175DF" w14:textId="77777777" w:rsidR="00E54CE6" w:rsidRPr="00E532F9" w:rsidRDefault="0016202A">
            <w:pPr>
              <w:jc w:val="both"/>
              <w:rPr>
                <w:rFonts w:eastAsia="Calibri" w:cs="Times New Roman"/>
                <w:b/>
                <w:sz w:val="24"/>
                <w:szCs w:val="24"/>
                <w:u w:val="single"/>
              </w:rPr>
            </w:pPr>
            <w:r>
              <w:rPr>
                <w:sz w:val="24"/>
                <w:szCs w:val="24"/>
              </w:rPr>
              <w:t xml:space="preserve">(2) Residieron, habitaron o asistieron a la escuela o trabajaron en Flint, o estuvieron expuestas de alguna forma al agua de Flint; </w:t>
            </w:r>
            <w:r>
              <w:rPr>
                <w:b/>
                <w:sz w:val="24"/>
                <w:szCs w:val="24"/>
                <w:u w:val="single"/>
              </w:rPr>
              <w:t>y</w:t>
            </w:r>
          </w:p>
          <w:p w14:paraId="3DE3C374" w14:textId="77777777" w:rsidR="00E54CE6" w:rsidRPr="00E532F9" w:rsidRDefault="00E54CE6">
            <w:pPr>
              <w:jc w:val="both"/>
              <w:rPr>
                <w:rFonts w:eastAsia="Calibri" w:cs="Times New Roman"/>
                <w:sz w:val="24"/>
                <w:szCs w:val="24"/>
              </w:rPr>
            </w:pPr>
          </w:p>
          <w:p w14:paraId="65CE1201" w14:textId="77777777" w:rsidR="00E54CE6" w:rsidRPr="00E532F9" w:rsidRDefault="0016202A">
            <w:pPr>
              <w:rPr>
                <w:rFonts w:eastAsia="Calibri" w:cs="Times New Roman"/>
                <w:sz w:val="24"/>
                <w:szCs w:val="24"/>
              </w:rPr>
            </w:pPr>
            <w:r>
              <w:rPr>
                <w:sz w:val="24"/>
                <w:szCs w:val="24"/>
              </w:rPr>
              <w:t xml:space="preserve">(3) Tienen hipertensión severa, neuropatía, accidente cerebrovascular, anemia o insuficiencia renal </w:t>
            </w:r>
            <w:r>
              <w:rPr>
                <w:sz w:val="24"/>
                <w:szCs w:val="24"/>
                <w:u w:val="single"/>
              </w:rPr>
              <w:t>y</w:t>
            </w:r>
            <w:r>
              <w:rPr>
                <w:sz w:val="24"/>
                <w:szCs w:val="24"/>
              </w:rPr>
              <w:t xml:space="preserve"> recibieron tratamiento por tales condiciones por parte de un médico certificado por la junta médica correspondiente o una persona supervisada por dicho médico, con la capacitación necesaria para tratar tales condiciones, entre el 16 de mayo de 2014 y el 31 de julio de 2016; </w:t>
            </w:r>
            <w:r>
              <w:rPr>
                <w:sz w:val="24"/>
                <w:szCs w:val="24"/>
                <w:u w:val="single"/>
              </w:rPr>
              <w:t>y</w:t>
            </w:r>
            <w:r>
              <w:rPr>
                <w:sz w:val="24"/>
                <w:szCs w:val="24"/>
              </w:rPr>
              <w:t xml:space="preserve"> cuya condición está documentada en los registros médicos o en un informe emitido por dicho médico o persona supervisada o cualquier otro médico especialista certificado por la junta médica correspondiente entre el 16 de mayo de 2014 y los 90 días posteriores a la fecha de la Orden de Aprobación Preliminar, y su causa o exacerbación se debe a la exposición de la persona al agua </w:t>
            </w:r>
            <w:r>
              <w:rPr>
                <w:sz w:val="24"/>
                <w:szCs w:val="24"/>
              </w:rPr>
              <w:lastRenderedPageBreak/>
              <w:t xml:space="preserve">de Flint entre el 16 de mayo de 2014 y el 31 de julio de 2016. </w:t>
            </w:r>
          </w:p>
          <w:p w14:paraId="2D959A8A" w14:textId="77777777" w:rsidR="00E54CE6" w:rsidRPr="00E532F9" w:rsidRDefault="00E54CE6">
            <w:pPr>
              <w:rPr>
                <w:rFonts w:eastAsia="Calibri" w:cs="Times New Roman"/>
                <w:sz w:val="24"/>
                <w:szCs w:val="24"/>
              </w:rPr>
            </w:pPr>
          </w:p>
          <w:p w14:paraId="5F56625E" w14:textId="77777777" w:rsidR="00E54CE6" w:rsidRPr="00E532F9" w:rsidRDefault="00E54CE6">
            <w:pPr>
              <w:rPr>
                <w:rFonts w:eastAsia="Calibri" w:cs="Times New Roman"/>
                <w:sz w:val="24"/>
                <w:szCs w:val="24"/>
              </w:rPr>
            </w:pPr>
          </w:p>
        </w:tc>
        <w:tc>
          <w:tcPr>
            <w:tcW w:w="4317" w:type="dxa"/>
          </w:tcPr>
          <w:p w14:paraId="10089FDF" w14:textId="77777777" w:rsidR="00E54CE6" w:rsidRPr="00E532F9" w:rsidRDefault="0016202A">
            <w:pPr>
              <w:jc w:val="center"/>
              <w:rPr>
                <w:rFonts w:eastAsia="Calibri" w:cs="Times New Roman"/>
                <w:b/>
                <w:color w:val="0070C0"/>
                <w:sz w:val="24"/>
                <w:szCs w:val="24"/>
              </w:rPr>
            </w:pPr>
            <w:r>
              <w:rPr>
                <w:b/>
                <w:color w:val="0D0D0D"/>
                <w:sz w:val="24"/>
                <w:szCs w:val="24"/>
                <w:u w:val="single"/>
              </w:rPr>
              <w:lastRenderedPageBreak/>
              <w:t>Prestaciones Pecuniarias</w:t>
            </w:r>
          </w:p>
          <w:p w14:paraId="35E9DAD2" w14:textId="77777777" w:rsidR="00E54CE6" w:rsidRPr="00E532F9" w:rsidRDefault="00E54CE6">
            <w:pPr>
              <w:jc w:val="center"/>
              <w:rPr>
                <w:rFonts w:eastAsia="Calibri" w:cs="Times New Roman"/>
                <w:b/>
                <w:color w:val="0070C0"/>
                <w:sz w:val="24"/>
                <w:szCs w:val="24"/>
              </w:rPr>
            </w:pPr>
          </w:p>
          <w:p w14:paraId="677C7597" w14:textId="77777777" w:rsidR="00E54CE6" w:rsidRPr="00E532F9" w:rsidRDefault="0016202A">
            <w:pPr>
              <w:jc w:val="center"/>
              <w:rPr>
                <w:rFonts w:eastAsia="Calibri" w:cs="Times New Roman"/>
              </w:rPr>
            </w:pPr>
            <w:r>
              <w:rPr>
                <w:b/>
                <w:color w:val="0070C0"/>
                <w:sz w:val="24"/>
                <w:szCs w:val="24"/>
              </w:rPr>
              <w:t>AX</w:t>
            </w:r>
          </w:p>
        </w:tc>
        <w:tc>
          <w:tcPr>
            <w:tcW w:w="4317" w:type="dxa"/>
          </w:tcPr>
          <w:p w14:paraId="2CB810C0" w14:textId="77777777" w:rsidR="00E54CE6" w:rsidRPr="00E532F9" w:rsidRDefault="0016202A">
            <w:pPr>
              <w:jc w:val="center"/>
              <w:rPr>
                <w:rFonts w:eastAsia="Calibri" w:cs="Times New Roman"/>
                <w:sz w:val="24"/>
                <w:szCs w:val="24"/>
                <w:u w:val="single"/>
              </w:rPr>
            </w:pPr>
            <w:r>
              <w:rPr>
                <w:b/>
                <w:color w:val="0D0D0D"/>
                <w:sz w:val="24"/>
                <w:szCs w:val="24"/>
                <w:u w:val="single"/>
              </w:rPr>
              <w:t>Pruebas Exigidas</w:t>
            </w:r>
          </w:p>
          <w:p w14:paraId="2C6768FF" w14:textId="77777777" w:rsidR="00E54CE6" w:rsidRPr="00E532F9" w:rsidRDefault="00E54CE6">
            <w:pPr>
              <w:jc w:val="both"/>
              <w:rPr>
                <w:rFonts w:eastAsia="Calibri" w:cs="Times New Roman"/>
                <w:sz w:val="24"/>
                <w:szCs w:val="24"/>
                <w:u w:val="single"/>
              </w:rPr>
            </w:pPr>
          </w:p>
          <w:p w14:paraId="1633D0E9" w14:textId="77777777" w:rsidR="00E54CE6" w:rsidRPr="00E532F9" w:rsidRDefault="0016202A">
            <w:pPr>
              <w:jc w:val="both"/>
              <w:rPr>
                <w:rFonts w:eastAsia="Calibri" w:cs="Times New Roman"/>
                <w:sz w:val="24"/>
                <w:szCs w:val="24"/>
              </w:rPr>
            </w:pPr>
            <w:r>
              <w:rPr>
                <w:sz w:val="24"/>
                <w:szCs w:val="24"/>
                <w:u w:val="single"/>
              </w:rPr>
              <w:t>Pruebas en la sangre o en los huesos</w:t>
            </w:r>
            <w:r>
              <w:rPr>
                <w:sz w:val="24"/>
                <w:szCs w:val="24"/>
              </w:rPr>
              <w:t>: tal como se describe en las pruebas exigidas para la Categoría 1.</w:t>
            </w:r>
          </w:p>
          <w:p w14:paraId="5CE23F0D" w14:textId="77777777" w:rsidR="00E54CE6" w:rsidRPr="00E532F9" w:rsidRDefault="00E54CE6">
            <w:pPr>
              <w:jc w:val="both"/>
              <w:rPr>
                <w:rFonts w:eastAsia="Calibri" w:cs="Times New Roman"/>
                <w:sz w:val="24"/>
                <w:szCs w:val="24"/>
              </w:rPr>
            </w:pPr>
          </w:p>
          <w:p w14:paraId="6E99CFB4" w14:textId="77777777" w:rsidR="00E54CE6" w:rsidRPr="00E532F9" w:rsidRDefault="0016202A">
            <w:pPr>
              <w:autoSpaceDE w:val="0"/>
              <w:autoSpaceDN w:val="0"/>
              <w:adjustRightInd w:val="0"/>
              <w:spacing w:after="120"/>
              <w:jc w:val="both"/>
              <w:rPr>
                <w:rFonts w:eastAsia="Calibri" w:cs="Times New Roman"/>
                <w:sz w:val="24"/>
                <w:szCs w:val="24"/>
              </w:rPr>
            </w:pPr>
            <w:r>
              <w:rPr>
                <w:sz w:val="24"/>
                <w:szCs w:val="24"/>
                <w:u w:val="single"/>
              </w:rPr>
              <w:t>Registros Médicos de Lesión Personal Grave</w:t>
            </w:r>
            <w:r>
              <w:rPr>
                <w:sz w:val="24"/>
                <w:szCs w:val="24"/>
              </w:rPr>
              <w:t>: Copia de los registros médicos o informe tal como se indica en la Descripción de la Categoría.</w:t>
            </w:r>
          </w:p>
          <w:p w14:paraId="1DC22182" w14:textId="77777777" w:rsidR="00E54CE6" w:rsidRPr="00E532F9" w:rsidRDefault="00E54CE6">
            <w:pPr>
              <w:jc w:val="both"/>
              <w:rPr>
                <w:rFonts w:eastAsia="Calibri" w:cs="Times New Roman"/>
              </w:rPr>
            </w:pPr>
          </w:p>
        </w:tc>
      </w:tr>
      <w:tr w:rsidR="00E54CE6" w:rsidRPr="00E532F9" w14:paraId="70A58568" w14:textId="77777777">
        <w:tc>
          <w:tcPr>
            <w:tcW w:w="12950" w:type="dxa"/>
            <w:gridSpan w:val="3"/>
            <w:shd w:val="clear" w:color="auto" w:fill="B4C6E7"/>
          </w:tcPr>
          <w:p w14:paraId="053EE674" w14:textId="77777777" w:rsidR="00E54CE6" w:rsidRPr="00E532F9" w:rsidRDefault="00E54CE6">
            <w:pPr>
              <w:jc w:val="center"/>
              <w:rPr>
                <w:rFonts w:eastAsia="Calibri" w:cs="Times New Roman"/>
                <w:b/>
                <w:caps/>
                <w:sz w:val="24"/>
                <w:szCs w:val="24"/>
                <w:u w:val="single"/>
              </w:rPr>
            </w:pPr>
          </w:p>
          <w:p w14:paraId="591BAC62" w14:textId="77777777" w:rsidR="00E54CE6" w:rsidRPr="00E532F9" w:rsidRDefault="0016202A">
            <w:pPr>
              <w:jc w:val="center"/>
              <w:rPr>
                <w:rFonts w:eastAsia="Calibri" w:cs="Times New Roman"/>
                <w:b/>
                <w:caps/>
                <w:sz w:val="24"/>
                <w:szCs w:val="24"/>
                <w:u w:val="single"/>
              </w:rPr>
            </w:pPr>
            <w:r>
              <w:rPr>
                <w:b/>
                <w:caps/>
                <w:sz w:val="24"/>
                <w:szCs w:val="24"/>
                <w:u w:val="single"/>
              </w:rPr>
              <w:t>Categoría 24</w:t>
            </w:r>
          </w:p>
          <w:p w14:paraId="15B106F1" w14:textId="77777777" w:rsidR="00E54CE6" w:rsidRPr="00E532F9" w:rsidRDefault="0016202A">
            <w:pPr>
              <w:autoSpaceDE w:val="0"/>
              <w:autoSpaceDN w:val="0"/>
              <w:adjustRightInd w:val="0"/>
              <w:contextualSpacing/>
              <w:jc w:val="center"/>
              <w:rPr>
                <w:rFonts w:eastAsia="Calibri" w:cs="Times New Roman"/>
                <w:sz w:val="24"/>
                <w:szCs w:val="24"/>
              </w:rPr>
            </w:pPr>
            <w:r>
              <w:rPr>
                <w:sz w:val="24"/>
                <w:szCs w:val="24"/>
                <w:u w:val="single"/>
              </w:rPr>
              <w:t>Adulto</w:t>
            </w:r>
            <w:r>
              <w:rPr>
                <w:sz w:val="24"/>
                <w:szCs w:val="24"/>
              </w:rPr>
              <w:t>, lesión física.</w:t>
            </w:r>
          </w:p>
          <w:p w14:paraId="43640F23" w14:textId="77777777" w:rsidR="00E54CE6" w:rsidRPr="00E532F9" w:rsidRDefault="00E54CE6">
            <w:pPr>
              <w:autoSpaceDE w:val="0"/>
              <w:autoSpaceDN w:val="0"/>
              <w:adjustRightInd w:val="0"/>
              <w:contextualSpacing/>
              <w:jc w:val="center"/>
              <w:rPr>
                <w:rFonts w:eastAsia="Calibri" w:cs="Times New Roman"/>
                <w:b/>
                <w:sz w:val="24"/>
                <w:szCs w:val="24"/>
                <w:u w:val="single"/>
              </w:rPr>
            </w:pPr>
          </w:p>
        </w:tc>
      </w:tr>
      <w:tr w:rsidR="00E54CE6" w:rsidRPr="00E532F9" w14:paraId="14006CE7" w14:textId="77777777">
        <w:tc>
          <w:tcPr>
            <w:tcW w:w="4316" w:type="dxa"/>
          </w:tcPr>
          <w:p w14:paraId="18FBE2DD" w14:textId="77777777" w:rsidR="00E54CE6" w:rsidRPr="00E532F9" w:rsidRDefault="0016202A">
            <w:pPr>
              <w:jc w:val="center"/>
              <w:rPr>
                <w:rFonts w:eastAsia="Calibri" w:cs="Times New Roman"/>
                <w:b/>
                <w:bCs/>
                <w:sz w:val="24"/>
                <w:szCs w:val="24"/>
                <w:u w:val="single"/>
              </w:rPr>
            </w:pPr>
            <w:r>
              <w:rPr>
                <w:b/>
                <w:bCs/>
                <w:sz w:val="24"/>
                <w:szCs w:val="24"/>
                <w:u w:val="single"/>
              </w:rPr>
              <w:t>Descripción de la Categoría</w:t>
            </w:r>
          </w:p>
          <w:p w14:paraId="123B0A56" w14:textId="77777777" w:rsidR="00E54CE6" w:rsidRPr="00E532F9" w:rsidRDefault="00E54CE6">
            <w:pPr>
              <w:jc w:val="both"/>
              <w:rPr>
                <w:rFonts w:eastAsia="Calibri" w:cs="Times New Roman"/>
                <w:i/>
                <w:iCs/>
                <w:sz w:val="24"/>
                <w:szCs w:val="24"/>
              </w:rPr>
            </w:pPr>
          </w:p>
          <w:p w14:paraId="7E0834BE" w14:textId="77777777" w:rsidR="00E54CE6" w:rsidRPr="00E532F9" w:rsidRDefault="0016202A">
            <w:pPr>
              <w:jc w:val="both"/>
              <w:rPr>
                <w:rFonts w:eastAsia="Calibri" w:cs="Times New Roman"/>
                <w:b/>
                <w:iCs/>
                <w:sz w:val="24"/>
                <w:szCs w:val="24"/>
                <w:u w:val="single"/>
              </w:rPr>
            </w:pPr>
            <w:r>
              <w:rPr>
                <w:b/>
                <w:iCs/>
                <w:sz w:val="24"/>
                <w:szCs w:val="24"/>
                <w:u w:val="single"/>
              </w:rPr>
              <w:t>Lesión Física</w:t>
            </w:r>
          </w:p>
          <w:p w14:paraId="1BDC635F" w14:textId="77777777" w:rsidR="00E54CE6" w:rsidRPr="00E532F9" w:rsidRDefault="0016202A">
            <w:pPr>
              <w:jc w:val="both"/>
              <w:rPr>
                <w:rFonts w:eastAsia="Calibri" w:cs="Times New Roman"/>
                <w:sz w:val="24"/>
                <w:szCs w:val="24"/>
              </w:rPr>
            </w:pPr>
            <w:r>
              <w:rPr>
                <w:iCs/>
                <w:sz w:val="24"/>
                <w:szCs w:val="24"/>
              </w:rPr>
              <w:t>Personas de 18 años o más en el momento de la primera exposición quienes:</w:t>
            </w:r>
          </w:p>
          <w:p w14:paraId="70DD0136" w14:textId="77777777" w:rsidR="00E54CE6" w:rsidRPr="00E532F9" w:rsidRDefault="00E54CE6">
            <w:pPr>
              <w:jc w:val="both"/>
              <w:rPr>
                <w:rFonts w:eastAsia="Calibri" w:cs="Times New Roman"/>
                <w:sz w:val="24"/>
                <w:szCs w:val="24"/>
              </w:rPr>
            </w:pPr>
          </w:p>
          <w:p w14:paraId="69845C51" w14:textId="77777777" w:rsidR="00E54CE6" w:rsidRPr="00E532F9" w:rsidRDefault="0016202A">
            <w:pPr>
              <w:jc w:val="both"/>
              <w:rPr>
                <w:rFonts w:eastAsia="Calibri" w:cs="Times New Roman"/>
                <w:sz w:val="24"/>
                <w:szCs w:val="24"/>
              </w:rPr>
            </w:pPr>
            <w:r>
              <w:rPr>
                <w:sz w:val="24"/>
                <w:szCs w:val="24"/>
              </w:rPr>
              <w:t>(1) Por al menos 21 días durante cualquier período de 30 días entre el 25 de abril de 2014 y el 31 de julio de 2016;</w:t>
            </w:r>
          </w:p>
          <w:p w14:paraId="15D67841" w14:textId="77777777" w:rsidR="00E54CE6" w:rsidRPr="00E532F9" w:rsidRDefault="00E54CE6">
            <w:pPr>
              <w:jc w:val="both"/>
              <w:rPr>
                <w:rFonts w:eastAsia="Calibri" w:cs="Times New Roman"/>
                <w:sz w:val="24"/>
                <w:szCs w:val="24"/>
              </w:rPr>
            </w:pPr>
          </w:p>
          <w:p w14:paraId="5FD00D82" w14:textId="77777777" w:rsidR="00E54CE6" w:rsidRPr="00E532F9" w:rsidRDefault="0016202A">
            <w:pPr>
              <w:jc w:val="both"/>
              <w:rPr>
                <w:rFonts w:eastAsia="Calibri" w:cs="Times New Roman"/>
                <w:b/>
                <w:sz w:val="24"/>
                <w:szCs w:val="24"/>
                <w:u w:val="single"/>
              </w:rPr>
            </w:pPr>
            <w:r>
              <w:rPr>
                <w:sz w:val="24"/>
                <w:szCs w:val="24"/>
              </w:rPr>
              <w:t xml:space="preserve">(2) Residieron, habitaron o asistieron a la escuela o trabajaron en Flint, o estuvieron expuestas de alguna forma al agua de Flint; </w:t>
            </w:r>
            <w:r>
              <w:rPr>
                <w:b/>
                <w:sz w:val="24"/>
                <w:szCs w:val="24"/>
                <w:u w:val="single"/>
              </w:rPr>
              <w:t>y</w:t>
            </w:r>
          </w:p>
          <w:p w14:paraId="4BA32166" w14:textId="77777777" w:rsidR="00E54CE6" w:rsidRPr="00E532F9" w:rsidRDefault="00E54CE6">
            <w:pPr>
              <w:jc w:val="both"/>
              <w:rPr>
                <w:rFonts w:eastAsia="Calibri" w:cs="Times New Roman"/>
                <w:sz w:val="24"/>
                <w:szCs w:val="24"/>
              </w:rPr>
            </w:pPr>
          </w:p>
          <w:p w14:paraId="4C45127B" w14:textId="77777777" w:rsidR="00E54CE6" w:rsidRPr="00E532F9" w:rsidRDefault="0016202A">
            <w:pPr>
              <w:jc w:val="both"/>
              <w:rPr>
                <w:rFonts w:eastAsia="Calibri" w:cs="Times New Roman"/>
              </w:rPr>
            </w:pPr>
            <w:r>
              <w:rPr>
                <w:sz w:val="24"/>
                <w:szCs w:val="24"/>
              </w:rPr>
              <w:t xml:space="preserve">(3) Sufrieron una lesión física, la cual fue tratada por un médico certificado por la junta médica correspondiente o una persona supervisada por dicho médico, con la capacitación necesaria para tratar dicha lesión, entre el 16 de mayo de 2014 y el 31 de julio de 2016; </w:t>
            </w:r>
            <w:r>
              <w:rPr>
                <w:sz w:val="24"/>
                <w:szCs w:val="24"/>
                <w:u w:val="single"/>
              </w:rPr>
              <w:t>y</w:t>
            </w:r>
            <w:r>
              <w:rPr>
                <w:sz w:val="24"/>
                <w:szCs w:val="24"/>
              </w:rPr>
              <w:t xml:space="preserve"> la cual está documentada en los registros médicos o en un informe emitido por dicho médico o persona supervisada o cualquier otro </w:t>
            </w:r>
            <w:r>
              <w:rPr>
                <w:sz w:val="24"/>
                <w:szCs w:val="24"/>
              </w:rPr>
              <w:lastRenderedPageBreak/>
              <w:t>médico especialista certificado por la junta médica correspondiente entre el 16 de mayo de 2014 y los 90 días posteriores a la fecha de la Orden de Aprobación Preliminar, y cuya causa o exacerbación se debe a la exposición de la persona al agua de Flint entre el 16 de mayo de 2014 y el 31 de julio de 2016.  Los ejemplos de tales lesiones físicas incluyen, pero no se limitan a sarpullidos, lesiones en la piel, pérdida de cabello, problemas respiratorios, neumonía y problemas gastrointestinales.</w:t>
            </w:r>
          </w:p>
        </w:tc>
        <w:tc>
          <w:tcPr>
            <w:tcW w:w="4317" w:type="dxa"/>
          </w:tcPr>
          <w:p w14:paraId="10E2DD04" w14:textId="77777777" w:rsidR="00E54CE6" w:rsidRPr="00E532F9" w:rsidRDefault="0016202A">
            <w:pPr>
              <w:jc w:val="center"/>
              <w:rPr>
                <w:rFonts w:eastAsia="Calibri" w:cs="Times New Roman"/>
                <w:b/>
                <w:color w:val="0070C0"/>
                <w:sz w:val="24"/>
                <w:szCs w:val="24"/>
              </w:rPr>
            </w:pPr>
            <w:r>
              <w:rPr>
                <w:b/>
                <w:color w:val="0D0D0D"/>
                <w:sz w:val="24"/>
                <w:szCs w:val="24"/>
                <w:u w:val="single"/>
              </w:rPr>
              <w:lastRenderedPageBreak/>
              <w:t>Prestaciones Pecuniarias</w:t>
            </w:r>
          </w:p>
          <w:p w14:paraId="6A459E3E" w14:textId="77777777" w:rsidR="00E54CE6" w:rsidRPr="00E532F9" w:rsidRDefault="00E54CE6">
            <w:pPr>
              <w:jc w:val="center"/>
              <w:rPr>
                <w:rFonts w:eastAsia="Calibri" w:cs="Times New Roman"/>
                <w:b/>
                <w:color w:val="0070C0"/>
                <w:sz w:val="24"/>
                <w:szCs w:val="24"/>
              </w:rPr>
            </w:pPr>
          </w:p>
          <w:p w14:paraId="0BD4AEC8" w14:textId="77777777" w:rsidR="00E54CE6" w:rsidRPr="00E532F9" w:rsidRDefault="0016202A">
            <w:pPr>
              <w:jc w:val="center"/>
              <w:rPr>
                <w:rFonts w:eastAsia="Calibri" w:cs="Times New Roman"/>
              </w:rPr>
            </w:pPr>
            <w:r>
              <w:rPr>
                <w:b/>
                <w:color w:val="0070C0"/>
                <w:sz w:val="24"/>
                <w:szCs w:val="24"/>
              </w:rPr>
              <w:t>0.5AX</w:t>
            </w:r>
          </w:p>
        </w:tc>
        <w:tc>
          <w:tcPr>
            <w:tcW w:w="4317" w:type="dxa"/>
          </w:tcPr>
          <w:p w14:paraId="7941E49A" w14:textId="77777777" w:rsidR="00E54CE6" w:rsidRPr="00E532F9" w:rsidRDefault="0016202A">
            <w:pPr>
              <w:autoSpaceDE w:val="0"/>
              <w:autoSpaceDN w:val="0"/>
              <w:adjustRightInd w:val="0"/>
              <w:spacing w:after="120"/>
              <w:jc w:val="center"/>
              <w:rPr>
                <w:rFonts w:eastAsia="Calibri" w:cs="Times New Roman"/>
                <w:sz w:val="24"/>
                <w:szCs w:val="24"/>
                <w:u w:val="single"/>
              </w:rPr>
            </w:pPr>
            <w:r>
              <w:rPr>
                <w:b/>
                <w:color w:val="0D0D0D"/>
                <w:sz w:val="24"/>
                <w:szCs w:val="24"/>
                <w:u w:val="single"/>
              </w:rPr>
              <w:t xml:space="preserve">Pruebas Exigidas         </w:t>
            </w:r>
          </w:p>
          <w:p w14:paraId="6FEBDFC1" w14:textId="77777777" w:rsidR="00E54CE6" w:rsidRPr="00E532F9" w:rsidRDefault="00E54CE6">
            <w:pPr>
              <w:autoSpaceDE w:val="0"/>
              <w:autoSpaceDN w:val="0"/>
              <w:adjustRightInd w:val="0"/>
              <w:spacing w:after="120"/>
              <w:jc w:val="both"/>
              <w:rPr>
                <w:rFonts w:eastAsia="Calibri" w:cs="Times New Roman"/>
                <w:sz w:val="24"/>
                <w:szCs w:val="24"/>
                <w:u w:val="single"/>
              </w:rPr>
            </w:pPr>
          </w:p>
          <w:p w14:paraId="46F3DA09" w14:textId="77777777" w:rsidR="00E54CE6" w:rsidRPr="00E532F9" w:rsidRDefault="0016202A">
            <w:pPr>
              <w:autoSpaceDE w:val="0"/>
              <w:autoSpaceDN w:val="0"/>
              <w:adjustRightInd w:val="0"/>
              <w:spacing w:after="120"/>
              <w:jc w:val="both"/>
              <w:rPr>
                <w:rFonts w:eastAsia="Calibri" w:cs="Times New Roman"/>
                <w:sz w:val="24"/>
                <w:szCs w:val="24"/>
              </w:rPr>
            </w:pPr>
            <w:r>
              <w:rPr>
                <w:sz w:val="24"/>
                <w:szCs w:val="24"/>
                <w:u w:val="single"/>
              </w:rPr>
              <w:t>Registros Médicos</w:t>
            </w:r>
            <w:r>
              <w:rPr>
                <w:sz w:val="24"/>
                <w:szCs w:val="24"/>
              </w:rPr>
              <w:t>: Copia de los registros médicos o informe tal como se indica en la Descripción de la Categoría.</w:t>
            </w:r>
          </w:p>
        </w:tc>
      </w:tr>
      <w:tr w:rsidR="00E54CE6" w:rsidRPr="00E532F9" w14:paraId="58D3B816" w14:textId="77777777">
        <w:tc>
          <w:tcPr>
            <w:tcW w:w="12950" w:type="dxa"/>
            <w:gridSpan w:val="3"/>
            <w:shd w:val="clear" w:color="auto" w:fill="B4C6E7"/>
          </w:tcPr>
          <w:p w14:paraId="6F5EA764" w14:textId="77777777" w:rsidR="00E54CE6" w:rsidRPr="00E532F9" w:rsidRDefault="00E54CE6">
            <w:pPr>
              <w:jc w:val="center"/>
              <w:rPr>
                <w:rFonts w:eastAsia="Calibri" w:cs="Times New Roman"/>
                <w:b/>
                <w:sz w:val="24"/>
                <w:szCs w:val="24"/>
                <w:u w:val="single"/>
              </w:rPr>
            </w:pPr>
          </w:p>
          <w:p w14:paraId="1D48A07D" w14:textId="77777777" w:rsidR="00E54CE6" w:rsidRPr="00E532F9" w:rsidRDefault="0016202A">
            <w:pPr>
              <w:jc w:val="center"/>
              <w:rPr>
                <w:rFonts w:eastAsia="Calibri" w:cs="Times New Roman"/>
                <w:b/>
                <w:caps/>
                <w:sz w:val="24"/>
                <w:szCs w:val="24"/>
                <w:u w:val="single"/>
              </w:rPr>
            </w:pPr>
            <w:r>
              <w:rPr>
                <w:b/>
                <w:caps/>
                <w:sz w:val="24"/>
                <w:szCs w:val="24"/>
                <w:u w:val="single"/>
              </w:rPr>
              <w:t>Categoría 25</w:t>
            </w:r>
          </w:p>
          <w:p w14:paraId="0641AA50" w14:textId="77777777" w:rsidR="00E54CE6" w:rsidRPr="00E532F9" w:rsidRDefault="0016202A">
            <w:pPr>
              <w:autoSpaceDE w:val="0"/>
              <w:autoSpaceDN w:val="0"/>
              <w:adjustRightInd w:val="0"/>
              <w:contextualSpacing/>
              <w:jc w:val="center"/>
              <w:rPr>
                <w:rFonts w:eastAsia="Calibri" w:cs="Times New Roman"/>
                <w:sz w:val="24"/>
                <w:szCs w:val="24"/>
              </w:rPr>
            </w:pPr>
            <w:r>
              <w:rPr>
                <w:sz w:val="24"/>
                <w:szCs w:val="24"/>
                <w:u w:val="single"/>
              </w:rPr>
              <w:t>Adulto</w:t>
            </w:r>
            <w:r>
              <w:rPr>
                <w:sz w:val="24"/>
                <w:szCs w:val="24"/>
              </w:rPr>
              <w:t>, exposición después del 31 de julio de 2016, con nivel de plomo o lesión física.</w:t>
            </w:r>
          </w:p>
          <w:p w14:paraId="202F7CCE" w14:textId="77777777" w:rsidR="00E54CE6" w:rsidRPr="00E532F9" w:rsidRDefault="00E54CE6">
            <w:pPr>
              <w:autoSpaceDE w:val="0"/>
              <w:autoSpaceDN w:val="0"/>
              <w:adjustRightInd w:val="0"/>
              <w:contextualSpacing/>
              <w:jc w:val="center"/>
              <w:rPr>
                <w:rFonts w:eastAsia="Calibri" w:cs="Times New Roman"/>
                <w:b/>
                <w:sz w:val="24"/>
                <w:szCs w:val="24"/>
                <w:u w:val="single"/>
              </w:rPr>
            </w:pPr>
          </w:p>
        </w:tc>
      </w:tr>
      <w:tr w:rsidR="00E54CE6" w:rsidRPr="00E532F9" w14:paraId="7FC2BD03" w14:textId="77777777">
        <w:tc>
          <w:tcPr>
            <w:tcW w:w="4316" w:type="dxa"/>
          </w:tcPr>
          <w:p w14:paraId="4D4A083F" w14:textId="77777777" w:rsidR="00E54CE6" w:rsidRPr="00E532F9" w:rsidRDefault="0016202A">
            <w:pPr>
              <w:jc w:val="center"/>
              <w:rPr>
                <w:rFonts w:eastAsia="Calibri" w:cs="Times New Roman"/>
                <w:b/>
                <w:bCs/>
                <w:sz w:val="24"/>
                <w:szCs w:val="24"/>
                <w:u w:val="single"/>
              </w:rPr>
            </w:pPr>
            <w:r>
              <w:rPr>
                <w:b/>
                <w:bCs/>
                <w:sz w:val="24"/>
                <w:szCs w:val="24"/>
                <w:u w:val="single"/>
              </w:rPr>
              <w:t>Descripción de la Categoría</w:t>
            </w:r>
          </w:p>
          <w:p w14:paraId="2C2B3413" w14:textId="77777777" w:rsidR="00E54CE6" w:rsidRPr="00E532F9" w:rsidRDefault="00E54CE6">
            <w:pPr>
              <w:jc w:val="both"/>
              <w:rPr>
                <w:rFonts w:eastAsia="Calibri" w:cs="Times New Roman"/>
                <w:i/>
                <w:iCs/>
                <w:sz w:val="24"/>
                <w:szCs w:val="24"/>
              </w:rPr>
            </w:pPr>
          </w:p>
          <w:p w14:paraId="107998EB" w14:textId="77777777" w:rsidR="00E54CE6" w:rsidRPr="00E532F9" w:rsidRDefault="0016202A">
            <w:pPr>
              <w:jc w:val="both"/>
              <w:rPr>
                <w:rFonts w:eastAsia="Calibri" w:cs="Times New Roman"/>
                <w:b/>
                <w:iCs/>
                <w:sz w:val="24"/>
                <w:szCs w:val="24"/>
                <w:u w:val="single"/>
              </w:rPr>
            </w:pPr>
            <w:r>
              <w:rPr>
                <w:b/>
                <w:iCs/>
                <w:sz w:val="24"/>
                <w:szCs w:val="24"/>
                <w:u w:val="single"/>
              </w:rPr>
              <w:t>Nivel de plomo o Lesión Física</w:t>
            </w:r>
          </w:p>
          <w:p w14:paraId="23EC24F2" w14:textId="77777777" w:rsidR="00E54CE6" w:rsidRPr="00E532F9" w:rsidRDefault="0016202A">
            <w:pPr>
              <w:jc w:val="both"/>
              <w:rPr>
                <w:rFonts w:eastAsia="Calibri" w:cs="Times New Roman"/>
                <w:sz w:val="24"/>
                <w:szCs w:val="24"/>
              </w:rPr>
            </w:pPr>
            <w:r>
              <w:rPr>
                <w:iCs/>
                <w:sz w:val="24"/>
                <w:szCs w:val="24"/>
              </w:rPr>
              <w:t>Personas de 18 años o más en el momento de la primera exposición quienes:</w:t>
            </w:r>
          </w:p>
          <w:p w14:paraId="35522CE2" w14:textId="77777777" w:rsidR="00E54CE6" w:rsidRPr="00E532F9" w:rsidRDefault="00E54CE6">
            <w:pPr>
              <w:jc w:val="both"/>
              <w:rPr>
                <w:rFonts w:eastAsia="Calibri" w:cs="Times New Roman"/>
                <w:sz w:val="24"/>
                <w:szCs w:val="24"/>
              </w:rPr>
            </w:pPr>
          </w:p>
          <w:p w14:paraId="2C90B331" w14:textId="77777777" w:rsidR="00E54CE6" w:rsidRPr="00E532F9" w:rsidRDefault="0016202A">
            <w:pPr>
              <w:jc w:val="both"/>
              <w:rPr>
                <w:rFonts w:eastAsia="Calibri" w:cs="Times New Roman"/>
                <w:sz w:val="24"/>
                <w:szCs w:val="24"/>
              </w:rPr>
            </w:pPr>
            <w:r>
              <w:rPr>
                <w:sz w:val="24"/>
                <w:szCs w:val="24"/>
              </w:rPr>
              <w:t>(1) Por al menos 21 días durante cualquier período de 30 días después del 31 de julio de 2016 y antes de la Fecha de Celebración del Acuerdo de Indemnización;</w:t>
            </w:r>
          </w:p>
          <w:p w14:paraId="46373784" w14:textId="77777777" w:rsidR="00E54CE6" w:rsidRPr="00E532F9" w:rsidRDefault="00E54CE6">
            <w:pPr>
              <w:jc w:val="both"/>
              <w:rPr>
                <w:rFonts w:eastAsia="Calibri" w:cs="Times New Roman"/>
                <w:sz w:val="24"/>
                <w:szCs w:val="24"/>
              </w:rPr>
            </w:pPr>
          </w:p>
          <w:p w14:paraId="4F599F30" w14:textId="77777777" w:rsidR="00E54CE6" w:rsidRPr="00E532F9" w:rsidRDefault="0016202A">
            <w:pPr>
              <w:jc w:val="both"/>
              <w:rPr>
                <w:rFonts w:eastAsia="Calibri" w:cs="Times New Roman"/>
                <w:b/>
                <w:sz w:val="24"/>
                <w:szCs w:val="24"/>
                <w:u w:val="single"/>
              </w:rPr>
            </w:pPr>
            <w:r>
              <w:rPr>
                <w:sz w:val="24"/>
                <w:szCs w:val="24"/>
              </w:rPr>
              <w:t xml:space="preserve">(2) Residieron, habitaron o asistieron a la escuela o trabajaron en Flint, o estuvieron expuestas de alguna forma al agua de Flint; </w:t>
            </w:r>
            <w:r>
              <w:rPr>
                <w:b/>
                <w:sz w:val="24"/>
                <w:szCs w:val="24"/>
                <w:u w:val="single"/>
              </w:rPr>
              <w:t>y</w:t>
            </w:r>
          </w:p>
          <w:p w14:paraId="3C3CE548" w14:textId="77777777" w:rsidR="00E54CE6" w:rsidRPr="00E532F9" w:rsidRDefault="00E54CE6">
            <w:pPr>
              <w:jc w:val="both"/>
              <w:rPr>
                <w:rFonts w:eastAsia="Calibri" w:cs="Times New Roman"/>
                <w:sz w:val="24"/>
                <w:szCs w:val="24"/>
              </w:rPr>
            </w:pPr>
          </w:p>
          <w:p w14:paraId="0734C3C4" w14:textId="77777777" w:rsidR="00E54CE6" w:rsidRPr="00E532F9" w:rsidRDefault="0016202A">
            <w:pPr>
              <w:jc w:val="both"/>
              <w:rPr>
                <w:rFonts w:eastAsia="Calibri" w:cs="Times New Roman"/>
                <w:sz w:val="24"/>
                <w:szCs w:val="24"/>
              </w:rPr>
            </w:pPr>
            <w:r>
              <w:rPr>
                <w:sz w:val="24"/>
                <w:szCs w:val="24"/>
              </w:rPr>
              <w:lastRenderedPageBreak/>
              <w:t xml:space="preserve">(3) Tienen un resultado de 5 </w:t>
            </w:r>
            <w:proofErr w:type="spellStart"/>
            <w:r>
              <w:rPr>
                <w:sz w:val="24"/>
                <w:szCs w:val="24"/>
              </w:rPr>
              <w:t>mcg</w:t>
            </w:r>
            <w:proofErr w:type="spellEnd"/>
            <w:r>
              <w:rPr>
                <w:sz w:val="24"/>
                <w:szCs w:val="24"/>
              </w:rPr>
              <w:t>/</w:t>
            </w:r>
            <w:proofErr w:type="spellStart"/>
            <w:r>
              <w:rPr>
                <w:sz w:val="24"/>
                <w:szCs w:val="24"/>
              </w:rPr>
              <w:t>dL</w:t>
            </w:r>
            <w:proofErr w:type="spellEnd"/>
            <w:r>
              <w:rPr>
                <w:sz w:val="24"/>
                <w:szCs w:val="24"/>
              </w:rPr>
              <w:t xml:space="preserve"> o superior de una prueba del nivel de plomo en la sangre o un resultado de 5 </w:t>
            </w:r>
            <w:proofErr w:type="spellStart"/>
            <w:r>
              <w:rPr>
                <w:sz w:val="24"/>
                <w:szCs w:val="24"/>
              </w:rPr>
              <w:t>ug</w:t>
            </w:r>
            <w:proofErr w:type="spellEnd"/>
            <w:r>
              <w:rPr>
                <w:sz w:val="24"/>
                <w:szCs w:val="24"/>
              </w:rPr>
              <w:t xml:space="preserve">/G o superior en la cuantificación de plomo in vivo en los huesos de una persona y realizaron la prueba después del 31 de julio de 2016 y antes de la Fecha de Celebración del Acuerdo de Indemnización; </w:t>
            </w:r>
            <w:r>
              <w:rPr>
                <w:b/>
                <w:sz w:val="24"/>
                <w:szCs w:val="24"/>
                <w:u w:val="single"/>
              </w:rPr>
              <w:t>o</w:t>
            </w:r>
            <w:r>
              <w:rPr>
                <w:sz w:val="24"/>
                <w:szCs w:val="24"/>
              </w:rPr>
              <w:t xml:space="preserve"> tienen cualquier lesión física tratada por un médico certificado por una junta médica correspondiente o una persona supervisada por dicho médico, con la capacitación necesaria para tratar dicha lesión, después del 31 de julio de 2016 </w:t>
            </w:r>
            <w:r>
              <w:rPr>
                <w:sz w:val="24"/>
                <w:szCs w:val="24"/>
                <w:u w:val="single"/>
              </w:rPr>
              <w:t>y</w:t>
            </w:r>
            <w:r>
              <w:rPr>
                <w:sz w:val="24"/>
                <w:szCs w:val="24"/>
              </w:rPr>
              <w:t xml:space="preserve"> antes de la Fecha de Celebración del Acuerdo de Indemnización; y que está documentada en los registros médicos o en un informe presentado por dicho médico o persona supervisada o por otro médico especialista certificado por la junta médica correspondiente entre el 31 de julio de 2016 y los 90 días posteriores a la fecha de la Orden de Aprobación Preliminar, y cuya causa o exacerbación se debe a la exposición de la persona al agua de Flint después del 31 de julio de 2016 y antes de la Fecha de Celebración del Acuerdo de Indemnización.  Los ejemplos de tales lesiones físicas incluyen, pero no se limitan a sarpullidos, lesiones en la piel, pérdida de cabello, problemas respiratorios, neumonía y problemas gastrointestinales.</w:t>
            </w:r>
          </w:p>
          <w:p w14:paraId="0E46EA0F" w14:textId="77777777" w:rsidR="00E54CE6" w:rsidRPr="00E532F9" w:rsidRDefault="00E54CE6">
            <w:pPr>
              <w:jc w:val="both"/>
              <w:rPr>
                <w:rFonts w:eastAsia="Calibri" w:cs="Times New Roman"/>
                <w:sz w:val="24"/>
                <w:szCs w:val="24"/>
              </w:rPr>
            </w:pPr>
          </w:p>
        </w:tc>
        <w:tc>
          <w:tcPr>
            <w:tcW w:w="4317" w:type="dxa"/>
          </w:tcPr>
          <w:p w14:paraId="518DE93C" w14:textId="77777777" w:rsidR="00E54CE6" w:rsidRPr="00E532F9" w:rsidRDefault="0016202A">
            <w:pPr>
              <w:jc w:val="center"/>
              <w:rPr>
                <w:rFonts w:eastAsia="Calibri" w:cs="Times New Roman"/>
                <w:b/>
                <w:color w:val="0070C0"/>
                <w:sz w:val="24"/>
                <w:szCs w:val="24"/>
              </w:rPr>
            </w:pPr>
            <w:r>
              <w:rPr>
                <w:b/>
                <w:color w:val="0D0D0D"/>
                <w:sz w:val="24"/>
                <w:szCs w:val="24"/>
                <w:u w:val="single"/>
              </w:rPr>
              <w:lastRenderedPageBreak/>
              <w:t>Prestaciones Pecuniarias</w:t>
            </w:r>
          </w:p>
          <w:p w14:paraId="4C398DF2" w14:textId="77777777" w:rsidR="00E54CE6" w:rsidRPr="00E532F9" w:rsidRDefault="00E54CE6">
            <w:pPr>
              <w:jc w:val="center"/>
              <w:rPr>
                <w:rFonts w:eastAsia="Calibri" w:cs="Times New Roman"/>
                <w:b/>
                <w:color w:val="0070C0"/>
                <w:sz w:val="24"/>
                <w:szCs w:val="24"/>
              </w:rPr>
            </w:pPr>
          </w:p>
          <w:p w14:paraId="57074D03" w14:textId="77777777" w:rsidR="00E54CE6" w:rsidRPr="00E532F9" w:rsidRDefault="0016202A">
            <w:pPr>
              <w:jc w:val="center"/>
              <w:rPr>
                <w:rFonts w:eastAsia="Calibri" w:cs="Times New Roman"/>
              </w:rPr>
            </w:pPr>
            <w:r>
              <w:rPr>
                <w:b/>
                <w:color w:val="0070C0"/>
                <w:sz w:val="24"/>
                <w:szCs w:val="24"/>
              </w:rPr>
              <w:t>0.1AX</w:t>
            </w:r>
          </w:p>
        </w:tc>
        <w:tc>
          <w:tcPr>
            <w:tcW w:w="4317" w:type="dxa"/>
          </w:tcPr>
          <w:p w14:paraId="4E224C99" w14:textId="77777777" w:rsidR="00E54CE6" w:rsidRPr="00E532F9" w:rsidRDefault="0016202A">
            <w:pPr>
              <w:jc w:val="center"/>
              <w:rPr>
                <w:rFonts w:eastAsia="Calibri" w:cs="Times New Roman"/>
                <w:sz w:val="24"/>
                <w:szCs w:val="24"/>
                <w:u w:val="single"/>
              </w:rPr>
            </w:pPr>
            <w:r>
              <w:rPr>
                <w:b/>
                <w:color w:val="0D0D0D"/>
                <w:sz w:val="24"/>
                <w:szCs w:val="24"/>
                <w:u w:val="single"/>
              </w:rPr>
              <w:t>Pruebas Exigidas</w:t>
            </w:r>
          </w:p>
          <w:p w14:paraId="14E161A0" w14:textId="77777777" w:rsidR="00E54CE6" w:rsidRPr="00E532F9" w:rsidRDefault="00E54CE6">
            <w:pPr>
              <w:jc w:val="both"/>
              <w:rPr>
                <w:rFonts w:eastAsia="Calibri" w:cs="Times New Roman"/>
                <w:sz w:val="24"/>
                <w:szCs w:val="24"/>
                <w:u w:val="single"/>
              </w:rPr>
            </w:pPr>
          </w:p>
          <w:p w14:paraId="256AFB03" w14:textId="77777777" w:rsidR="00E54CE6" w:rsidRPr="00E532F9" w:rsidRDefault="0016202A">
            <w:pPr>
              <w:jc w:val="both"/>
              <w:rPr>
                <w:rFonts w:eastAsia="Calibri" w:cs="Times New Roman"/>
                <w:sz w:val="24"/>
                <w:szCs w:val="24"/>
              </w:rPr>
            </w:pPr>
            <w:r>
              <w:rPr>
                <w:sz w:val="24"/>
                <w:szCs w:val="24"/>
                <w:u w:val="single"/>
              </w:rPr>
              <w:t>Pruebas en la sangre o en los huesos</w:t>
            </w:r>
            <w:r>
              <w:rPr>
                <w:sz w:val="24"/>
                <w:szCs w:val="24"/>
              </w:rPr>
              <w:t>: tal como se describe en las pruebas exigidas para la Categoría 1, pero sujeto a las restricciones de fechas en esta Descripción de la Categoría.</w:t>
            </w:r>
          </w:p>
          <w:p w14:paraId="142C6B4C" w14:textId="77777777" w:rsidR="00E54CE6" w:rsidRPr="00E532F9" w:rsidRDefault="00E54CE6">
            <w:pPr>
              <w:jc w:val="both"/>
              <w:rPr>
                <w:rFonts w:eastAsia="Calibri" w:cs="Times New Roman"/>
                <w:sz w:val="24"/>
                <w:szCs w:val="24"/>
              </w:rPr>
            </w:pPr>
          </w:p>
          <w:p w14:paraId="071D07D9" w14:textId="77777777" w:rsidR="00E54CE6" w:rsidRPr="00E532F9" w:rsidRDefault="0016202A">
            <w:pPr>
              <w:autoSpaceDE w:val="0"/>
              <w:autoSpaceDN w:val="0"/>
              <w:adjustRightInd w:val="0"/>
              <w:spacing w:after="120"/>
              <w:jc w:val="both"/>
              <w:rPr>
                <w:rFonts w:cs="Times New Roman"/>
                <w:sz w:val="24"/>
                <w:szCs w:val="24"/>
              </w:rPr>
            </w:pPr>
            <w:r>
              <w:rPr>
                <w:sz w:val="24"/>
                <w:szCs w:val="24"/>
                <w:u w:val="single"/>
              </w:rPr>
              <w:t>Registros Médicos</w:t>
            </w:r>
            <w:r>
              <w:rPr>
                <w:sz w:val="24"/>
                <w:szCs w:val="24"/>
              </w:rPr>
              <w:t>: Copia de los registros médicos o informe tal como se indica en la Descripción de la Categoría.</w:t>
            </w:r>
          </w:p>
        </w:tc>
      </w:tr>
      <w:tr w:rsidR="00E54CE6" w:rsidRPr="00E532F9" w14:paraId="2E1BDF4C" w14:textId="77777777">
        <w:tc>
          <w:tcPr>
            <w:tcW w:w="12950" w:type="dxa"/>
            <w:gridSpan w:val="3"/>
            <w:shd w:val="clear" w:color="auto" w:fill="B4C6E7"/>
          </w:tcPr>
          <w:p w14:paraId="6CDA0A3B" w14:textId="77777777" w:rsidR="00E54CE6" w:rsidRPr="00E532F9" w:rsidRDefault="00E54CE6">
            <w:pPr>
              <w:jc w:val="center"/>
              <w:rPr>
                <w:rFonts w:eastAsia="Calibri" w:cs="Times New Roman"/>
                <w:b/>
                <w:sz w:val="24"/>
                <w:szCs w:val="24"/>
                <w:u w:val="single"/>
              </w:rPr>
            </w:pPr>
          </w:p>
          <w:p w14:paraId="03C77A3D" w14:textId="77777777" w:rsidR="00E54CE6" w:rsidRPr="00E532F9" w:rsidRDefault="0016202A">
            <w:pPr>
              <w:jc w:val="center"/>
              <w:rPr>
                <w:rFonts w:eastAsia="Calibri" w:cs="Times New Roman"/>
                <w:b/>
                <w:caps/>
                <w:sz w:val="24"/>
                <w:szCs w:val="24"/>
                <w:u w:val="single"/>
              </w:rPr>
            </w:pPr>
            <w:r>
              <w:rPr>
                <w:b/>
                <w:caps/>
                <w:sz w:val="24"/>
                <w:szCs w:val="24"/>
                <w:u w:val="single"/>
              </w:rPr>
              <w:t>Categoría 26</w:t>
            </w:r>
          </w:p>
          <w:p w14:paraId="16A932EE" w14:textId="77777777" w:rsidR="00E54CE6" w:rsidRPr="00E532F9" w:rsidRDefault="0016202A">
            <w:pPr>
              <w:autoSpaceDE w:val="0"/>
              <w:autoSpaceDN w:val="0"/>
              <w:adjustRightInd w:val="0"/>
              <w:contextualSpacing/>
              <w:jc w:val="center"/>
              <w:rPr>
                <w:rFonts w:eastAsia="Calibri" w:cs="Times New Roman"/>
                <w:b/>
                <w:sz w:val="24"/>
                <w:szCs w:val="24"/>
                <w:u w:val="single"/>
              </w:rPr>
            </w:pPr>
            <w:r>
              <w:rPr>
                <w:sz w:val="24"/>
                <w:szCs w:val="24"/>
                <w:u w:val="single"/>
              </w:rPr>
              <w:t>Mujeres que sufrieron Abortos Espontáneos</w:t>
            </w:r>
            <w:r>
              <w:rPr>
                <w:b/>
                <w:sz w:val="24"/>
                <w:szCs w:val="24"/>
                <w:u w:val="single"/>
              </w:rPr>
              <w:t xml:space="preserve"> </w:t>
            </w:r>
          </w:p>
          <w:p w14:paraId="741393D9" w14:textId="77777777" w:rsidR="00E54CE6" w:rsidRPr="00E532F9" w:rsidRDefault="00E54CE6">
            <w:pPr>
              <w:autoSpaceDE w:val="0"/>
              <w:autoSpaceDN w:val="0"/>
              <w:adjustRightInd w:val="0"/>
              <w:contextualSpacing/>
              <w:jc w:val="center"/>
              <w:rPr>
                <w:rFonts w:eastAsia="Calibri" w:cs="Times New Roman"/>
                <w:b/>
                <w:sz w:val="24"/>
                <w:szCs w:val="24"/>
                <w:u w:val="single"/>
              </w:rPr>
            </w:pPr>
          </w:p>
        </w:tc>
      </w:tr>
      <w:tr w:rsidR="00E54CE6" w:rsidRPr="00E532F9" w14:paraId="639E8644" w14:textId="77777777">
        <w:tc>
          <w:tcPr>
            <w:tcW w:w="4316" w:type="dxa"/>
          </w:tcPr>
          <w:p w14:paraId="7E523D00" w14:textId="77777777" w:rsidR="00E54CE6" w:rsidRPr="00E532F9" w:rsidRDefault="0016202A">
            <w:pPr>
              <w:jc w:val="center"/>
              <w:rPr>
                <w:rFonts w:eastAsia="Calibri" w:cs="Times New Roman"/>
                <w:b/>
                <w:bCs/>
                <w:sz w:val="24"/>
                <w:szCs w:val="24"/>
                <w:u w:val="single"/>
              </w:rPr>
            </w:pPr>
            <w:r>
              <w:rPr>
                <w:b/>
                <w:bCs/>
                <w:sz w:val="24"/>
                <w:szCs w:val="24"/>
                <w:u w:val="single"/>
              </w:rPr>
              <w:t>Descripción de la Categoría</w:t>
            </w:r>
          </w:p>
          <w:p w14:paraId="33FB1366" w14:textId="77777777" w:rsidR="00E54CE6" w:rsidRPr="00E532F9" w:rsidRDefault="00E54CE6">
            <w:pPr>
              <w:jc w:val="both"/>
              <w:rPr>
                <w:rFonts w:eastAsia="Calibri" w:cs="Times New Roman"/>
                <w:i/>
                <w:iCs/>
                <w:sz w:val="24"/>
                <w:szCs w:val="24"/>
              </w:rPr>
            </w:pPr>
          </w:p>
          <w:p w14:paraId="42240732" w14:textId="77777777" w:rsidR="00E54CE6" w:rsidRPr="00E532F9" w:rsidRDefault="0016202A">
            <w:pPr>
              <w:jc w:val="both"/>
              <w:rPr>
                <w:rFonts w:eastAsia="Calibri" w:cs="Times New Roman"/>
                <w:b/>
                <w:iCs/>
                <w:sz w:val="24"/>
                <w:szCs w:val="24"/>
                <w:u w:val="single"/>
              </w:rPr>
            </w:pPr>
            <w:r>
              <w:rPr>
                <w:b/>
                <w:iCs/>
                <w:sz w:val="24"/>
                <w:szCs w:val="24"/>
                <w:u w:val="single"/>
              </w:rPr>
              <w:t>Abortos Espontáneos</w:t>
            </w:r>
          </w:p>
          <w:p w14:paraId="7B34EC84" w14:textId="77777777" w:rsidR="00E54CE6" w:rsidRPr="00E532F9" w:rsidRDefault="0016202A">
            <w:pPr>
              <w:jc w:val="both"/>
              <w:rPr>
                <w:rFonts w:eastAsia="Calibri" w:cs="Times New Roman"/>
                <w:sz w:val="24"/>
                <w:szCs w:val="24"/>
              </w:rPr>
            </w:pPr>
            <w:r>
              <w:rPr>
                <w:iCs/>
                <w:sz w:val="24"/>
                <w:szCs w:val="24"/>
              </w:rPr>
              <w:t>Mujeres de cualquier edad quienes</w:t>
            </w:r>
            <w:r>
              <w:rPr>
                <w:sz w:val="24"/>
                <w:szCs w:val="24"/>
              </w:rPr>
              <w:t>:</w:t>
            </w:r>
          </w:p>
          <w:p w14:paraId="38627E9D" w14:textId="77777777" w:rsidR="00E54CE6" w:rsidRPr="00E532F9" w:rsidRDefault="00E54CE6">
            <w:pPr>
              <w:jc w:val="both"/>
              <w:rPr>
                <w:rFonts w:eastAsia="Calibri" w:cs="Times New Roman"/>
                <w:sz w:val="24"/>
                <w:szCs w:val="24"/>
              </w:rPr>
            </w:pPr>
          </w:p>
          <w:p w14:paraId="35A00DD9" w14:textId="77777777" w:rsidR="00E54CE6" w:rsidRPr="00E532F9" w:rsidRDefault="0016202A">
            <w:pPr>
              <w:jc w:val="both"/>
              <w:rPr>
                <w:rFonts w:eastAsia="Calibri" w:cs="Times New Roman"/>
                <w:sz w:val="24"/>
                <w:szCs w:val="24"/>
              </w:rPr>
            </w:pPr>
            <w:r>
              <w:rPr>
                <w:sz w:val="24"/>
                <w:szCs w:val="24"/>
              </w:rPr>
              <w:t>(1) Por al menos 21 días durante cualquier período de 30 días entre el 25 de abril de 2014 y el 31 de julio de 2016;</w:t>
            </w:r>
          </w:p>
          <w:p w14:paraId="58401C3E" w14:textId="77777777" w:rsidR="00E54CE6" w:rsidRPr="00E532F9" w:rsidRDefault="00E54CE6">
            <w:pPr>
              <w:jc w:val="both"/>
              <w:rPr>
                <w:rFonts w:eastAsia="Calibri" w:cs="Times New Roman"/>
                <w:sz w:val="24"/>
                <w:szCs w:val="24"/>
              </w:rPr>
            </w:pPr>
          </w:p>
          <w:p w14:paraId="2E884B45" w14:textId="77777777" w:rsidR="00E54CE6" w:rsidRPr="00E532F9" w:rsidRDefault="0016202A">
            <w:pPr>
              <w:jc w:val="both"/>
              <w:rPr>
                <w:rFonts w:eastAsia="Calibri" w:cs="Times New Roman"/>
                <w:b/>
                <w:sz w:val="24"/>
                <w:szCs w:val="24"/>
                <w:u w:val="single"/>
              </w:rPr>
            </w:pPr>
            <w:r>
              <w:rPr>
                <w:sz w:val="24"/>
                <w:szCs w:val="24"/>
              </w:rPr>
              <w:t xml:space="preserve">(2) Residieron, habitaron o asistieron a la escuela o trabajaron en Flint, o estuvieron expuestas de alguna forma al agua de Flint; </w:t>
            </w:r>
            <w:r>
              <w:rPr>
                <w:b/>
                <w:sz w:val="24"/>
                <w:szCs w:val="24"/>
                <w:u w:val="single"/>
              </w:rPr>
              <w:t>y</w:t>
            </w:r>
          </w:p>
          <w:p w14:paraId="3DBC5A40" w14:textId="77777777" w:rsidR="00E54CE6" w:rsidRPr="00E532F9" w:rsidRDefault="00E54CE6">
            <w:pPr>
              <w:jc w:val="both"/>
              <w:rPr>
                <w:rFonts w:eastAsia="Calibri" w:cs="Times New Roman"/>
                <w:sz w:val="24"/>
                <w:szCs w:val="24"/>
              </w:rPr>
            </w:pPr>
          </w:p>
          <w:p w14:paraId="7DDF2E53" w14:textId="77777777" w:rsidR="00E54CE6" w:rsidRPr="00E532F9" w:rsidRDefault="0016202A">
            <w:pPr>
              <w:jc w:val="both"/>
              <w:rPr>
                <w:rFonts w:eastAsia="Calibri" w:cs="Times New Roman"/>
                <w:sz w:val="24"/>
                <w:szCs w:val="24"/>
              </w:rPr>
            </w:pPr>
            <w:r>
              <w:rPr>
                <w:sz w:val="24"/>
                <w:szCs w:val="24"/>
              </w:rPr>
              <w:t xml:space="preserve">(3) Sufrieron un aborto espontáneo en cualquier momento entre el 16 de mayo de 2014 y el 30 de abril de 2017, y el nivel de plomo en la sangre de la madre o del cordón umbilical del feto era de 5 </w:t>
            </w:r>
            <w:proofErr w:type="spellStart"/>
            <w:r>
              <w:rPr>
                <w:sz w:val="24"/>
                <w:szCs w:val="24"/>
              </w:rPr>
              <w:t>mcg</w:t>
            </w:r>
            <w:proofErr w:type="spellEnd"/>
            <w:r>
              <w:rPr>
                <w:sz w:val="24"/>
                <w:szCs w:val="24"/>
              </w:rPr>
              <w:t>/</w:t>
            </w:r>
            <w:proofErr w:type="spellStart"/>
            <w:r>
              <w:rPr>
                <w:sz w:val="24"/>
                <w:szCs w:val="24"/>
              </w:rPr>
              <w:t>dL</w:t>
            </w:r>
            <w:proofErr w:type="spellEnd"/>
            <w:r>
              <w:rPr>
                <w:sz w:val="24"/>
                <w:szCs w:val="24"/>
              </w:rPr>
              <w:t xml:space="preserve"> o superior.</w:t>
            </w:r>
          </w:p>
        </w:tc>
        <w:tc>
          <w:tcPr>
            <w:tcW w:w="4317" w:type="dxa"/>
          </w:tcPr>
          <w:p w14:paraId="760127A0" w14:textId="77777777" w:rsidR="00E54CE6" w:rsidRPr="00E532F9" w:rsidRDefault="0016202A">
            <w:pPr>
              <w:jc w:val="center"/>
              <w:rPr>
                <w:rFonts w:eastAsia="Calibri" w:cs="Times New Roman"/>
                <w:b/>
                <w:color w:val="0070C0"/>
                <w:sz w:val="24"/>
                <w:szCs w:val="24"/>
              </w:rPr>
            </w:pPr>
            <w:r>
              <w:rPr>
                <w:b/>
                <w:color w:val="0D0D0D"/>
                <w:sz w:val="24"/>
                <w:szCs w:val="24"/>
                <w:u w:val="single"/>
              </w:rPr>
              <w:t>Prestaciones Pecuniarias</w:t>
            </w:r>
          </w:p>
          <w:p w14:paraId="255A2089" w14:textId="77777777" w:rsidR="00E54CE6" w:rsidRPr="00E532F9" w:rsidRDefault="00E54CE6">
            <w:pPr>
              <w:jc w:val="center"/>
              <w:rPr>
                <w:rFonts w:eastAsia="Calibri" w:cs="Times New Roman"/>
                <w:b/>
                <w:color w:val="0070C0"/>
                <w:sz w:val="24"/>
                <w:szCs w:val="24"/>
              </w:rPr>
            </w:pPr>
          </w:p>
          <w:p w14:paraId="0D9EE18B" w14:textId="77777777" w:rsidR="00E54CE6" w:rsidRPr="00E532F9" w:rsidRDefault="0016202A">
            <w:pPr>
              <w:jc w:val="center"/>
              <w:rPr>
                <w:rFonts w:eastAsia="Calibri" w:cs="Times New Roman"/>
              </w:rPr>
            </w:pPr>
            <w:r>
              <w:rPr>
                <w:b/>
                <w:color w:val="0070C0"/>
                <w:sz w:val="24"/>
                <w:szCs w:val="24"/>
              </w:rPr>
              <w:t>1.1AX</w:t>
            </w:r>
          </w:p>
        </w:tc>
        <w:tc>
          <w:tcPr>
            <w:tcW w:w="4317" w:type="dxa"/>
          </w:tcPr>
          <w:p w14:paraId="233F46B3" w14:textId="77777777" w:rsidR="00E54CE6" w:rsidRPr="00E532F9" w:rsidRDefault="0016202A">
            <w:pPr>
              <w:autoSpaceDE w:val="0"/>
              <w:autoSpaceDN w:val="0"/>
              <w:adjustRightInd w:val="0"/>
              <w:spacing w:after="120"/>
              <w:jc w:val="center"/>
              <w:rPr>
                <w:rFonts w:eastAsia="Calibri" w:cs="Times New Roman"/>
                <w:sz w:val="24"/>
                <w:szCs w:val="24"/>
                <w:u w:val="single"/>
              </w:rPr>
            </w:pPr>
            <w:r>
              <w:rPr>
                <w:b/>
                <w:color w:val="0D0D0D"/>
                <w:sz w:val="24"/>
                <w:szCs w:val="24"/>
                <w:u w:val="single"/>
              </w:rPr>
              <w:t>Pruebas Exigidas</w:t>
            </w:r>
          </w:p>
          <w:p w14:paraId="4D87F327" w14:textId="77777777" w:rsidR="00E54CE6" w:rsidRPr="00E532F9" w:rsidRDefault="00E54CE6">
            <w:pPr>
              <w:autoSpaceDE w:val="0"/>
              <w:autoSpaceDN w:val="0"/>
              <w:adjustRightInd w:val="0"/>
              <w:spacing w:after="120"/>
              <w:jc w:val="both"/>
              <w:rPr>
                <w:rFonts w:eastAsia="Calibri" w:cs="Times New Roman"/>
                <w:sz w:val="24"/>
                <w:szCs w:val="24"/>
                <w:u w:val="single"/>
              </w:rPr>
            </w:pPr>
          </w:p>
          <w:p w14:paraId="73880CDC" w14:textId="77777777" w:rsidR="00E54CE6" w:rsidRPr="00E532F9" w:rsidRDefault="0016202A">
            <w:pPr>
              <w:autoSpaceDE w:val="0"/>
              <w:autoSpaceDN w:val="0"/>
              <w:adjustRightInd w:val="0"/>
              <w:spacing w:after="120"/>
              <w:jc w:val="both"/>
              <w:rPr>
                <w:rFonts w:eastAsia="Calibri" w:cs="Times New Roman"/>
                <w:sz w:val="24"/>
                <w:szCs w:val="24"/>
              </w:rPr>
            </w:pPr>
            <w:r>
              <w:rPr>
                <w:sz w:val="24"/>
                <w:szCs w:val="24"/>
                <w:u w:val="single"/>
              </w:rPr>
              <w:t>Registros Médicos Contemporáneos</w:t>
            </w:r>
            <w:r>
              <w:rPr>
                <w:sz w:val="24"/>
                <w:szCs w:val="24"/>
              </w:rPr>
              <w:t>: Copia de los registros médicos con fecha entre el 16 de mayo de 2014 y el 30 de abril de 2017, que incluyan la opinión de un médico especializado en obstetricia y ginecología certificado por la junta médica correspondiente donde se indique que la Reclamante sufrió la lesión reclamada entre el 16 de mayo de 2014 y el 30 de abril de 2017.</w:t>
            </w:r>
          </w:p>
          <w:p w14:paraId="45625121" w14:textId="77777777" w:rsidR="00E54CE6" w:rsidRPr="00E532F9" w:rsidRDefault="00E54CE6">
            <w:pPr>
              <w:autoSpaceDE w:val="0"/>
              <w:autoSpaceDN w:val="0"/>
              <w:adjustRightInd w:val="0"/>
              <w:spacing w:after="120"/>
              <w:jc w:val="both"/>
              <w:rPr>
                <w:rFonts w:eastAsia="Calibri" w:cs="Times New Roman"/>
                <w:sz w:val="24"/>
                <w:szCs w:val="24"/>
              </w:rPr>
            </w:pPr>
          </w:p>
          <w:p w14:paraId="67CF268B" w14:textId="77777777" w:rsidR="00E54CE6" w:rsidRPr="00E532F9" w:rsidRDefault="0016202A">
            <w:pPr>
              <w:jc w:val="both"/>
              <w:rPr>
                <w:rFonts w:eastAsia="Calibri" w:cs="Times New Roman"/>
                <w:sz w:val="24"/>
                <w:szCs w:val="24"/>
              </w:rPr>
            </w:pPr>
            <w:r>
              <w:rPr>
                <w:sz w:val="24"/>
                <w:szCs w:val="24"/>
                <w:u w:val="single"/>
              </w:rPr>
              <w:t>Prueba en la sangre</w:t>
            </w:r>
            <w:r>
              <w:rPr>
                <w:sz w:val="24"/>
                <w:szCs w:val="24"/>
              </w:rPr>
              <w:t>: tal como se describe en las pruebas exigidas para la Categoría 1, pero sujeto a las restricciones de fechas en esta Descripción de la Categoría.</w:t>
            </w:r>
          </w:p>
          <w:p w14:paraId="11068E3F" w14:textId="77777777" w:rsidR="00E54CE6" w:rsidRPr="00E532F9" w:rsidRDefault="00E54CE6">
            <w:pPr>
              <w:autoSpaceDE w:val="0"/>
              <w:autoSpaceDN w:val="0"/>
              <w:adjustRightInd w:val="0"/>
              <w:spacing w:after="120"/>
              <w:jc w:val="both"/>
              <w:rPr>
                <w:rFonts w:eastAsia="Calibri" w:cs="Times New Roman"/>
                <w:sz w:val="24"/>
                <w:szCs w:val="24"/>
              </w:rPr>
            </w:pPr>
          </w:p>
          <w:p w14:paraId="3B5D4A6C" w14:textId="77777777" w:rsidR="00E54CE6" w:rsidRDefault="00E54CE6">
            <w:pPr>
              <w:rPr>
                <w:rFonts w:eastAsia="Calibri" w:cs="Times New Roman"/>
              </w:rPr>
            </w:pPr>
          </w:p>
          <w:p w14:paraId="770C5B7A" w14:textId="77777777" w:rsidR="00BE39BF" w:rsidRDefault="00BE39BF">
            <w:pPr>
              <w:rPr>
                <w:rFonts w:eastAsia="Calibri" w:cs="Times New Roman"/>
              </w:rPr>
            </w:pPr>
          </w:p>
          <w:p w14:paraId="12EBD13A" w14:textId="77777777" w:rsidR="00BE39BF" w:rsidRDefault="00BE39BF">
            <w:pPr>
              <w:rPr>
                <w:rFonts w:eastAsia="Calibri" w:cs="Times New Roman"/>
              </w:rPr>
            </w:pPr>
          </w:p>
          <w:p w14:paraId="0224DA2F" w14:textId="77777777" w:rsidR="00BE39BF" w:rsidRDefault="00BE39BF">
            <w:pPr>
              <w:rPr>
                <w:rFonts w:eastAsia="Calibri" w:cs="Times New Roman"/>
              </w:rPr>
            </w:pPr>
          </w:p>
          <w:p w14:paraId="66AB8231" w14:textId="77777777" w:rsidR="00BE39BF" w:rsidRDefault="00BE39BF">
            <w:pPr>
              <w:rPr>
                <w:rFonts w:eastAsia="Calibri" w:cs="Times New Roman"/>
              </w:rPr>
            </w:pPr>
          </w:p>
          <w:p w14:paraId="2DBFBD95" w14:textId="77777777" w:rsidR="00BE39BF" w:rsidRDefault="00BE39BF">
            <w:pPr>
              <w:rPr>
                <w:rFonts w:eastAsia="Calibri" w:cs="Times New Roman"/>
              </w:rPr>
            </w:pPr>
          </w:p>
          <w:p w14:paraId="438BC201" w14:textId="5CAE820B" w:rsidR="00BE39BF" w:rsidRPr="00E532F9" w:rsidRDefault="00BE39BF">
            <w:pPr>
              <w:rPr>
                <w:rFonts w:eastAsia="Calibri" w:cs="Times New Roman"/>
              </w:rPr>
            </w:pPr>
          </w:p>
        </w:tc>
      </w:tr>
      <w:tr w:rsidR="00E54CE6" w:rsidRPr="00E532F9" w14:paraId="44795B15" w14:textId="77777777">
        <w:tc>
          <w:tcPr>
            <w:tcW w:w="12950" w:type="dxa"/>
            <w:gridSpan w:val="3"/>
            <w:shd w:val="clear" w:color="auto" w:fill="B4C6E7"/>
          </w:tcPr>
          <w:p w14:paraId="5391B9BD" w14:textId="77777777" w:rsidR="00E54CE6" w:rsidRPr="00E532F9" w:rsidRDefault="00E54CE6">
            <w:pPr>
              <w:jc w:val="center"/>
              <w:rPr>
                <w:rFonts w:eastAsia="Calibri" w:cs="Times New Roman"/>
                <w:b/>
                <w:sz w:val="24"/>
                <w:szCs w:val="24"/>
                <w:u w:val="single"/>
              </w:rPr>
            </w:pPr>
          </w:p>
          <w:p w14:paraId="188F7C1A" w14:textId="77777777" w:rsidR="00E54CE6" w:rsidRPr="00E532F9" w:rsidRDefault="0016202A">
            <w:pPr>
              <w:jc w:val="center"/>
              <w:rPr>
                <w:rFonts w:eastAsia="Calibri" w:cs="Times New Roman"/>
                <w:b/>
                <w:caps/>
                <w:sz w:val="24"/>
                <w:szCs w:val="24"/>
                <w:u w:val="single"/>
              </w:rPr>
            </w:pPr>
            <w:r>
              <w:rPr>
                <w:b/>
                <w:caps/>
                <w:sz w:val="24"/>
                <w:szCs w:val="24"/>
                <w:u w:val="single"/>
              </w:rPr>
              <w:t>Categoría 27</w:t>
            </w:r>
            <w:r w:rsidRPr="00E532F9">
              <w:rPr>
                <w:rStyle w:val="FootnoteReference"/>
                <w:rFonts w:eastAsia="Calibri" w:cs="Times New Roman"/>
                <w:b/>
                <w:caps/>
                <w:sz w:val="24"/>
                <w:szCs w:val="24"/>
                <w:u w:val="single"/>
              </w:rPr>
              <w:footnoteReference w:id="4"/>
            </w:r>
          </w:p>
          <w:p w14:paraId="5398AF43" w14:textId="77777777" w:rsidR="00E54CE6" w:rsidRPr="00E532F9" w:rsidRDefault="0016202A">
            <w:pPr>
              <w:autoSpaceDE w:val="0"/>
              <w:autoSpaceDN w:val="0"/>
              <w:adjustRightInd w:val="0"/>
              <w:contextualSpacing/>
              <w:jc w:val="center"/>
              <w:rPr>
                <w:rFonts w:eastAsia="Calibri" w:cs="Times New Roman"/>
                <w:sz w:val="24"/>
                <w:szCs w:val="24"/>
              </w:rPr>
            </w:pPr>
            <w:r>
              <w:rPr>
                <w:sz w:val="24"/>
                <w:szCs w:val="24"/>
                <w:u w:val="single"/>
              </w:rPr>
              <w:t>Adulto</w:t>
            </w:r>
            <w:r>
              <w:rPr>
                <w:sz w:val="24"/>
                <w:szCs w:val="24"/>
              </w:rPr>
              <w:t>, Enfermedad del Legionario.</w:t>
            </w:r>
          </w:p>
          <w:p w14:paraId="23887190" w14:textId="77777777" w:rsidR="00E54CE6" w:rsidRPr="00E532F9" w:rsidRDefault="00E54CE6">
            <w:pPr>
              <w:autoSpaceDE w:val="0"/>
              <w:autoSpaceDN w:val="0"/>
              <w:adjustRightInd w:val="0"/>
              <w:contextualSpacing/>
              <w:jc w:val="center"/>
              <w:rPr>
                <w:rFonts w:eastAsia="Calibri" w:cs="Times New Roman"/>
                <w:b/>
                <w:sz w:val="24"/>
                <w:szCs w:val="24"/>
                <w:u w:val="single"/>
              </w:rPr>
            </w:pPr>
          </w:p>
        </w:tc>
      </w:tr>
      <w:tr w:rsidR="00E54CE6" w:rsidRPr="00E532F9" w14:paraId="6EBAF617" w14:textId="77777777">
        <w:tc>
          <w:tcPr>
            <w:tcW w:w="4316" w:type="dxa"/>
          </w:tcPr>
          <w:p w14:paraId="7EA81030" w14:textId="77777777" w:rsidR="00E54CE6" w:rsidRPr="00E532F9" w:rsidRDefault="0016202A">
            <w:pPr>
              <w:jc w:val="center"/>
              <w:rPr>
                <w:rFonts w:eastAsia="Calibri" w:cs="Times New Roman"/>
                <w:b/>
                <w:sz w:val="24"/>
                <w:szCs w:val="24"/>
                <w:u w:val="single"/>
              </w:rPr>
            </w:pPr>
            <w:r>
              <w:rPr>
                <w:b/>
                <w:sz w:val="24"/>
                <w:szCs w:val="24"/>
                <w:u w:val="single"/>
              </w:rPr>
              <w:t>Descripción de la Categoría</w:t>
            </w:r>
          </w:p>
          <w:p w14:paraId="1082004B" w14:textId="77777777" w:rsidR="00E54CE6" w:rsidRPr="00E532F9" w:rsidRDefault="00E54CE6">
            <w:pPr>
              <w:jc w:val="both"/>
              <w:rPr>
                <w:rFonts w:eastAsia="Calibri" w:cs="Times New Roman"/>
                <w:b/>
                <w:sz w:val="24"/>
                <w:szCs w:val="24"/>
                <w:u w:val="single"/>
              </w:rPr>
            </w:pPr>
          </w:p>
          <w:p w14:paraId="665204A7" w14:textId="77777777" w:rsidR="00E54CE6" w:rsidRPr="00E532F9" w:rsidRDefault="0016202A">
            <w:pPr>
              <w:jc w:val="both"/>
              <w:rPr>
                <w:rFonts w:eastAsia="Calibri" w:cs="Times New Roman"/>
                <w:b/>
                <w:sz w:val="24"/>
                <w:szCs w:val="24"/>
                <w:u w:val="single"/>
              </w:rPr>
            </w:pPr>
            <w:r>
              <w:rPr>
                <w:b/>
                <w:sz w:val="24"/>
                <w:szCs w:val="24"/>
                <w:u w:val="single"/>
              </w:rPr>
              <w:t>Enfermedad del Legionario, General (Categoría 27A)</w:t>
            </w:r>
          </w:p>
          <w:p w14:paraId="7389587A" w14:textId="77777777" w:rsidR="00E54CE6" w:rsidRPr="00E532F9" w:rsidRDefault="0016202A">
            <w:pPr>
              <w:jc w:val="both"/>
              <w:rPr>
                <w:rFonts w:eastAsia="Calibri" w:cs="Times New Roman"/>
                <w:sz w:val="24"/>
                <w:szCs w:val="24"/>
              </w:rPr>
            </w:pPr>
            <w:r>
              <w:rPr>
                <w:iCs/>
                <w:sz w:val="24"/>
                <w:szCs w:val="24"/>
              </w:rPr>
              <w:t>Personas de 18 años o más en el momento de la primera exposición quienes:</w:t>
            </w:r>
          </w:p>
          <w:p w14:paraId="77142A0B" w14:textId="77777777" w:rsidR="00E54CE6" w:rsidRPr="00E532F9" w:rsidRDefault="00E54CE6">
            <w:pPr>
              <w:jc w:val="both"/>
              <w:rPr>
                <w:rFonts w:eastAsia="Calibri" w:cs="Times New Roman"/>
                <w:sz w:val="24"/>
                <w:szCs w:val="24"/>
              </w:rPr>
            </w:pPr>
          </w:p>
          <w:p w14:paraId="5B9DCD39" w14:textId="77777777" w:rsidR="00E54CE6" w:rsidRPr="00E532F9" w:rsidRDefault="0016202A">
            <w:pPr>
              <w:jc w:val="both"/>
              <w:rPr>
                <w:rFonts w:eastAsia="Calibri" w:cs="Times New Roman"/>
                <w:sz w:val="24"/>
                <w:szCs w:val="24"/>
              </w:rPr>
            </w:pPr>
            <w:r>
              <w:rPr>
                <w:sz w:val="24"/>
                <w:szCs w:val="24"/>
              </w:rPr>
              <w:t>(1) Entre el 25 de abril de 2014 y el 31 de diciembre de 2018;</w:t>
            </w:r>
          </w:p>
          <w:p w14:paraId="4FD6ECD5" w14:textId="77777777" w:rsidR="00E54CE6" w:rsidRPr="00E532F9" w:rsidRDefault="00E54CE6">
            <w:pPr>
              <w:jc w:val="both"/>
              <w:rPr>
                <w:rFonts w:eastAsia="Calibri" w:cs="Times New Roman"/>
                <w:sz w:val="24"/>
                <w:szCs w:val="24"/>
              </w:rPr>
            </w:pPr>
          </w:p>
          <w:p w14:paraId="03487B27" w14:textId="77777777" w:rsidR="00E54CE6" w:rsidRPr="00E532F9" w:rsidRDefault="0016202A">
            <w:pPr>
              <w:jc w:val="both"/>
              <w:rPr>
                <w:rFonts w:eastAsia="Calibri" w:cs="Times New Roman"/>
                <w:b/>
                <w:sz w:val="24"/>
                <w:szCs w:val="24"/>
                <w:u w:val="single"/>
              </w:rPr>
            </w:pPr>
            <w:r>
              <w:rPr>
                <w:sz w:val="24"/>
                <w:szCs w:val="24"/>
              </w:rPr>
              <w:t xml:space="preserve">(2) Estuvieron expuestas al agua de Flint; </w:t>
            </w:r>
            <w:r>
              <w:rPr>
                <w:b/>
                <w:sz w:val="24"/>
                <w:szCs w:val="24"/>
                <w:u w:val="single"/>
              </w:rPr>
              <w:t>y</w:t>
            </w:r>
          </w:p>
          <w:p w14:paraId="0EA93D7F" w14:textId="77777777" w:rsidR="00E54CE6" w:rsidRPr="00E532F9" w:rsidRDefault="00E54CE6">
            <w:pPr>
              <w:jc w:val="both"/>
              <w:rPr>
                <w:rFonts w:eastAsia="Calibri" w:cs="Times New Roman"/>
                <w:sz w:val="24"/>
                <w:szCs w:val="24"/>
              </w:rPr>
            </w:pPr>
          </w:p>
          <w:p w14:paraId="0DA8D8B4" w14:textId="77777777" w:rsidR="00E54CE6" w:rsidRPr="00E532F9" w:rsidRDefault="0016202A">
            <w:pPr>
              <w:jc w:val="both"/>
              <w:rPr>
                <w:rFonts w:eastAsia="Calibri" w:cs="Times New Roman"/>
                <w:sz w:val="24"/>
                <w:szCs w:val="24"/>
              </w:rPr>
            </w:pPr>
            <w:r>
              <w:rPr>
                <w:sz w:val="24"/>
                <w:szCs w:val="24"/>
              </w:rPr>
              <w:t xml:space="preserve">(3) Fueron diagnosticadas con la Enfermedad del Legionario en el período comprendido entre el 25 de abril de 2014 y el 31 de diciembre de 2018, pero la enfermedad no fue la causa del fallecimiento. </w:t>
            </w:r>
          </w:p>
          <w:p w14:paraId="218E3846" w14:textId="77777777" w:rsidR="00E54CE6" w:rsidRPr="00E532F9" w:rsidRDefault="00E54CE6">
            <w:pPr>
              <w:jc w:val="both"/>
              <w:rPr>
                <w:rFonts w:eastAsia="Calibri" w:cs="Times New Roman"/>
                <w:sz w:val="24"/>
                <w:szCs w:val="24"/>
              </w:rPr>
            </w:pPr>
          </w:p>
          <w:p w14:paraId="6811A8D3" w14:textId="77777777" w:rsidR="00E54CE6" w:rsidRPr="00E532F9" w:rsidRDefault="0016202A">
            <w:pPr>
              <w:jc w:val="both"/>
              <w:rPr>
                <w:rFonts w:eastAsia="Calibri" w:cs="Times New Roman"/>
                <w:b/>
                <w:sz w:val="24"/>
                <w:szCs w:val="24"/>
                <w:u w:val="single"/>
              </w:rPr>
            </w:pPr>
            <w:r>
              <w:rPr>
                <w:b/>
                <w:sz w:val="24"/>
                <w:szCs w:val="24"/>
                <w:u w:val="single"/>
              </w:rPr>
              <w:t>Fallecimiento por Enfermedad del Legionario (Categoría 27B)</w:t>
            </w:r>
          </w:p>
          <w:p w14:paraId="088686DD" w14:textId="77777777" w:rsidR="00E54CE6" w:rsidRPr="00E532F9" w:rsidRDefault="0016202A">
            <w:pPr>
              <w:jc w:val="both"/>
              <w:rPr>
                <w:rFonts w:eastAsia="Calibri" w:cs="Times New Roman"/>
                <w:sz w:val="24"/>
                <w:szCs w:val="24"/>
              </w:rPr>
            </w:pPr>
            <w:r>
              <w:rPr>
                <w:sz w:val="24"/>
                <w:szCs w:val="24"/>
              </w:rPr>
              <w:t>Personas de 18 años o más en el momento de la primera exposición quienes:</w:t>
            </w:r>
          </w:p>
          <w:p w14:paraId="2BF08874" w14:textId="77777777" w:rsidR="00E54CE6" w:rsidRPr="00E532F9" w:rsidRDefault="00E54CE6">
            <w:pPr>
              <w:jc w:val="both"/>
              <w:rPr>
                <w:rFonts w:eastAsia="Calibri" w:cs="Times New Roman"/>
                <w:sz w:val="24"/>
                <w:szCs w:val="24"/>
              </w:rPr>
            </w:pPr>
          </w:p>
          <w:p w14:paraId="45AF9E83" w14:textId="77777777" w:rsidR="00E54CE6" w:rsidRPr="00E532F9" w:rsidRDefault="0016202A">
            <w:pPr>
              <w:jc w:val="both"/>
              <w:rPr>
                <w:rFonts w:eastAsia="Calibri" w:cs="Times New Roman"/>
                <w:sz w:val="24"/>
                <w:szCs w:val="24"/>
              </w:rPr>
            </w:pPr>
            <w:r>
              <w:rPr>
                <w:sz w:val="24"/>
                <w:szCs w:val="24"/>
              </w:rPr>
              <w:t>(1) Entre el 25 de abril de 2014 y el 31 de diciembre de 2018;</w:t>
            </w:r>
          </w:p>
          <w:p w14:paraId="7D60CF4B" w14:textId="77777777" w:rsidR="00E54CE6" w:rsidRPr="00E532F9" w:rsidRDefault="00E54CE6">
            <w:pPr>
              <w:jc w:val="both"/>
              <w:rPr>
                <w:rFonts w:eastAsia="Calibri" w:cs="Times New Roman"/>
                <w:sz w:val="24"/>
                <w:szCs w:val="24"/>
              </w:rPr>
            </w:pPr>
          </w:p>
          <w:p w14:paraId="05FD69EF" w14:textId="77777777" w:rsidR="00E54CE6" w:rsidRPr="00E532F9" w:rsidRDefault="0016202A">
            <w:pPr>
              <w:jc w:val="both"/>
              <w:rPr>
                <w:rFonts w:eastAsia="Calibri" w:cs="Times New Roman"/>
                <w:b/>
                <w:sz w:val="24"/>
                <w:szCs w:val="24"/>
                <w:u w:val="single"/>
              </w:rPr>
            </w:pPr>
            <w:r>
              <w:rPr>
                <w:sz w:val="24"/>
                <w:szCs w:val="24"/>
              </w:rPr>
              <w:t xml:space="preserve">(2) Estuvieron expuestas al agua de Flint; </w:t>
            </w:r>
            <w:r>
              <w:rPr>
                <w:b/>
                <w:sz w:val="24"/>
                <w:szCs w:val="24"/>
                <w:u w:val="single"/>
              </w:rPr>
              <w:t>y</w:t>
            </w:r>
          </w:p>
          <w:p w14:paraId="65D5A8B3" w14:textId="77777777" w:rsidR="00E54CE6" w:rsidRPr="00E532F9" w:rsidRDefault="00E54CE6">
            <w:pPr>
              <w:jc w:val="both"/>
              <w:rPr>
                <w:rFonts w:eastAsia="Calibri" w:cs="Times New Roman"/>
                <w:sz w:val="24"/>
                <w:szCs w:val="24"/>
              </w:rPr>
            </w:pPr>
          </w:p>
          <w:p w14:paraId="50B5C1AE" w14:textId="77777777" w:rsidR="00E54CE6" w:rsidRPr="00E532F9" w:rsidRDefault="0016202A">
            <w:pPr>
              <w:jc w:val="both"/>
              <w:rPr>
                <w:rFonts w:eastAsia="Calibri" w:cs="Times New Roman"/>
                <w:sz w:val="24"/>
                <w:szCs w:val="24"/>
              </w:rPr>
            </w:pPr>
            <w:r>
              <w:rPr>
                <w:sz w:val="24"/>
                <w:szCs w:val="24"/>
              </w:rPr>
              <w:t>(3) Fueron diagnosticadas con la Enfermedad del Legionario en el período comprendido entre el 25 de abril de 2014 y el 31 de diciembre de 2018; la enfermedad fue la causa del fallecimiento.</w:t>
            </w:r>
          </w:p>
        </w:tc>
        <w:tc>
          <w:tcPr>
            <w:tcW w:w="4317" w:type="dxa"/>
          </w:tcPr>
          <w:p w14:paraId="67D40434" w14:textId="77777777" w:rsidR="00E54CE6" w:rsidRPr="00E532F9" w:rsidRDefault="0016202A">
            <w:pPr>
              <w:jc w:val="center"/>
              <w:rPr>
                <w:rFonts w:eastAsia="Calibri" w:cs="Times New Roman"/>
                <w:b/>
                <w:color w:val="0070C0"/>
                <w:sz w:val="24"/>
                <w:szCs w:val="24"/>
              </w:rPr>
            </w:pPr>
            <w:r>
              <w:rPr>
                <w:b/>
                <w:color w:val="0D0D0D"/>
                <w:sz w:val="24"/>
                <w:szCs w:val="24"/>
                <w:u w:val="single"/>
              </w:rPr>
              <w:lastRenderedPageBreak/>
              <w:t>Prestaciones Pecuniarias</w:t>
            </w:r>
          </w:p>
          <w:p w14:paraId="4BB2307B" w14:textId="77777777" w:rsidR="00E54CE6" w:rsidRPr="00E532F9" w:rsidRDefault="00E54CE6">
            <w:pPr>
              <w:jc w:val="center"/>
              <w:rPr>
                <w:rFonts w:eastAsia="Calibri" w:cs="Times New Roman"/>
                <w:b/>
                <w:color w:val="0070C0"/>
                <w:sz w:val="24"/>
                <w:szCs w:val="24"/>
              </w:rPr>
            </w:pPr>
          </w:p>
          <w:p w14:paraId="0DFAC69D" w14:textId="77777777" w:rsidR="00E54CE6" w:rsidRPr="00E532F9" w:rsidRDefault="0016202A">
            <w:pPr>
              <w:jc w:val="center"/>
              <w:rPr>
                <w:rFonts w:eastAsia="Calibri" w:cs="Times New Roman"/>
                <w:b/>
                <w:color w:val="0070C0"/>
                <w:sz w:val="24"/>
                <w:szCs w:val="24"/>
              </w:rPr>
            </w:pPr>
            <w:r>
              <w:rPr>
                <w:b/>
                <w:color w:val="0070C0"/>
                <w:sz w:val="24"/>
                <w:szCs w:val="24"/>
              </w:rPr>
              <w:t>Categoría 27A: 0.5AX</w:t>
            </w:r>
          </w:p>
          <w:p w14:paraId="68A22609" w14:textId="77777777" w:rsidR="00E54CE6" w:rsidRPr="00E532F9" w:rsidRDefault="00E54CE6">
            <w:pPr>
              <w:rPr>
                <w:rFonts w:eastAsia="Calibri" w:cs="Times New Roman"/>
                <w:b/>
                <w:color w:val="0070C0"/>
                <w:sz w:val="24"/>
                <w:szCs w:val="24"/>
              </w:rPr>
            </w:pPr>
          </w:p>
          <w:p w14:paraId="2F9A1F88" w14:textId="77777777" w:rsidR="00E54CE6" w:rsidRPr="00E532F9" w:rsidRDefault="00E54CE6">
            <w:pPr>
              <w:rPr>
                <w:rFonts w:eastAsia="Calibri" w:cs="Times New Roman"/>
                <w:b/>
                <w:color w:val="0070C0"/>
                <w:sz w:val="24"/>
                <w:szCs w:val="24"/>
              </w:rPr>
            </w:pPr>
          </w:p>
          <w:p w14:paraId="46B86C56" w14:textId="77777777" w:rsidR="00E54CE6" w:rsidRPr="00E532F9" w:rsidRDefault="00E54CE6">
            <w:pPr>
              <w:rPr>
                <w:rFonts w:eastAsia="Calibri" w:cs="Times New Roman"/>
                <w:b/>
                <w:color w:val="0070C0"/>
                <w:sz w:val="24"/>
                <w:szCs w:val="24"/>
              </w:rPr>
            </w:pPr>
          </w:p>
          <w:p w14:paraId="2C210778" w14:textId="77777777" w:rsidR="00E54CE6" w:rsidRPr="00E532F9" w:rsidRDefault="00E54CE6">
            <w:pPr>
              <w:rPr>
                <w:rFonts w:eastAsia="Calibri" w:cs="Times New Roman"/>
                <w:b/>
                <w:color w:val="0070C0"/>
                <w:sz w:val="24"/>
                <w:szCs w:val="24"/>
              </w:rPr>
            </w:pPr>
          </w:p>
          <w:p w14:paraId="0A285379" w14:textId="77777777" w:rsidR="00E54CE6" w:rsidRPr="00E532F9" w:rsidRDefault="00E54CE6">
            <w:pPr>
              <w:rPr>
                <w:rFonts w:eastAsia="Calibri" w:cs="Times New Roman"/>
                <w:b/>
                <w:color w:val="0070C0"/>
                <w:sz w:val="24"/>
                <w:szCs w:val="24"/>
              </w:rPr>
            </w:pPr>
          </w:p>
          <w:p w14:paraId="48170A5F" w14:textId="77777777" w:rsidR="00E54CE6" w:rsidRPr="00E532F9" w:rsidRDefault="00E54CE6">
            <w:pPr>
              <w:rPr>
                <w:rFonts w:eastAsia="Calibri" w:cs="Times New Roman"/>
                <w:b/>
                <w:color w:val="0070C0"/>
                <w:sz w:val="24"/>
                <w:szCs w:val="24"/>
              </w:rPr>
            </w:pPr>
          </w:p>
          <w:p w14:paraId="36F5A7F1" w14:textId="77777777" w:rsidR="00E54CE6" w:rsidRPr="00E532F9" w:rsidRDefault="00E54CE6">
            <w:pPr>
              <w:rPr>
                <w:rFonts w:eastAsia="Calibri" w:cs="Times New Roman"/>
                <w:b/>
                <w:color w:val="0070C0"/>
                <w:sz w:val="24"/>
                <w:szCs w:val="24"/>
              </w:rPr>
            </w:pPr>
          </w:p>
          <w:p w14:paraId="0938A2B1" w14:textId="77777777" w:rsidR="00E54CE6" w:rsidRPr="00E532F9" w:rsidRDefault="00E54CE6">
            <w:pPr>
              <w:rPr>
                <w:rFonts w:eastAsia="Calibri" w:cs="Times New Roman"/>
                <w:b/>
                <w:color w:val="0070C0"/>
                <w:sz w:val="24"/>
                <w:szCs w:val="24"/>
              </w:rPr>
            </w:pPr>
          </w:p>
          <w:p w14:paraId="5CC6277B" w14:textId="77777777" w:rsidR="00E54CE6" w:rsidRPr="00E532F9" w:rsidRDefault="00E54CE6">
            <w:pPr>
              <w:rPr>
                <w:rFonts w:eastAsia="Calibri" w:cs="Times New Roman"/>
                <w:b/>
                <w:color w:val="0070C0"/>
                <w:sz w:val="24"/>
                <w:szCs w:val="24"/>
              </w:rPr>
            </w:pPr>
          </w:p>
          <w:p w14:paraId="38E588F4" w14:textId="77777777" w:rsidR="00E54CE6" w:rsidRPr="00E532F9" w:rsidRDefault="00E54CE6">
            <w:pPr>
              <w:rPr>
                <w:rFonts w:eastAsia="Calibri" w:cs="Times New Roman"/>
                <w:b/>
                <w:color w:val="0070C0"/>
                <w:sz w:val="24"/>
                <w:szCs w:val="24"/>
              </w:rPr>
            </w:pPr>
          </w:p>
          <w:p w14:paraId="58C3C85D" w14:textId="77777777" w:rsidR="00E54CE6" w:rsidRPr="00E532F9" w:rsidRDefault="00E54CE6">
            <w:pPr>
              <w:rPr>
                <w:rFonts w:eastAsia="Calibri" w:cs="Times New Roman"/>
                <w:b/>
                <w:color w:val="0070C0"/>
                <w:sz w:val="24"/>
                <w:szCs w:val="24"/>
              </w:rPr>
            </w:pPr>
          </w:p>
          <w:p w14:paraId="69EA7BD0" w14:textId="77777777" w:rsidR="00E54CE6" w:rsidRPr="00E532F9" w:rsidRDefault="00E54CE6">
            <w:pPr>
              <w:rPr>
                <w:rFonts w:eastAsia="Calibri" w:cs="Times New Roman"/>
                <w:b/>
                <w:color w:val="0070C0"/>
                <w:sz w:val="24"/>
                <w:szCs w:val="24"/>
              </w:rPr>
            </w:pPr>
          </w:p>
          <w:p w14:paraId="639CC735" w14:textId="77777777" w:rsidR="00E54CE6" w:rsidRPr="00E532F9" w:rsidRDefault="00E54CE6">
            <w:pPr>
              <w:rPr>
                <w:rFonts w:eastAsia="Calibri" w:cs="Times New Roman"/>
                <w:b/>
                <w:color w:val="0070C0"/>
                <w:sz w:val="24"/>
                <w:szCs w:val="24"/>
              </w:rPr>
            </w:pPr>
          </w:p>
          <w:p w14:paraId="109324A2" w14:textId="77777777" w:rsidR="00E54CE6" w:rsidRPr="00E532F9" w:rsidRDefault="0016202A">
            <w:pPr>
              <w:jc w:val="center"/>
              <w:rPr>
                <w:rFonts w:eastAsia="Calibri" w:cs="Times New Roman"/>
                <w:b/>
                <w:color w:val="0070C0"/>
                <w:sz w:val="24"/>
                <w:szCs w:val="24"/>
              </w:rPr>
            </w:pPr>
            <w:r>
              <w:rPr>
                <w:b/>
                <w:color w:val="0070C0"/>
                <w:sz w:val="24"/>
                <w:szCs w:val="24"/>
              </w:rPr>
              <w:t>Categoría 27B</w:t>
            </w:r>
            <w:r w:rsidRPr="00E532F9">
              <w:rPr>
                <w:rStyle w:val="FootnoteReference"/>
                <w:rFonts w:eastAsia="Calibri" w:cs="Times New Roman"/>
                <w:b/>
                <w:color w:val="0070C0"/>
                <w:sz w:val="24"/>
                <w:szCs w:val="24"/>
              </w:rPr>
              <w:footnoteReference w:id="5"/>
            </w:r>
            <w:r>
              <w:rPr>
                <w:b/>
                <w:color w:val="0070C0"/>
                <w:sz w:val="24"/>
                <w:szCs w:val="24"/>
              </w:rPr>
              <w:t>:</w:t>
            </w:r>
          </w:p>
          <w:p w14:paraId="77F10F4C" w14:textId="77777777" w:rsidR="00E54CE6" w:rsidRPr="00E532F9" w:rsidRDefault="0016202A">
            <w:pPr>
              <w:rPr>
                <w:rFonts w:eastAsia="Calibri" w:cs="Times New Roman"/>
                <w:sz w:val="24"/>
                <w:szCs w:val="24"/>
              </w:rPr>
            </w:pPr>
            <w:r>
              <w:rPr>
                <w:sz w:val="24"/>
                <w:szCs w:val="24"/>
              </w:rPr>
              <w:t>49 años o menos:  $1,500,000</w:t>
            </w:r>
          </w:p>
          <w:p w14:paraId="75E4DC81" w14:textId="77777777" w:rsidR="00E54CE6" w:rsidRPr="00E532F9" w:rsidRDefault="0016202A">
            <w:pPr>
              <w:rPr>
                <w:rFonts w:eastAsia="Calibri" w:cs="Times New Roman"/>
                <w:sz w:val="24"/>
                <w:szCs w:val="24"/>
              </w:rPr>
            </w:pPr>
            <w:r>
              <w:rPr>
                <w:sz w:val="24"/>
                <w:szCs w:val="24"/>
              </w:rPr>
              <w:t>Entre 50 y 59 años:  $1250,000</w:t>
            </w:r>
          </w:p>
          <w:p w14:paraId="67EC317A" w14:textId="77777777" w:rsidR="00E54CE6" w:rsidRPr="00E532F9" w:rsidRDefault="0016202A">
            <w:pPr>
              <w:rPr>
                <w:rFonts w:eastAsia="Calibri" w:cs="Times New Roman"/>
                <w:sz w:val="24"/>
                <w:szCs w:val="24"/>
              </w:rPr>
            </w:pPr>
            <w:r>
              <w:rPr>
                <w:sz w:val="24"/>
                <w:szCs w:val="24"/>
              </w:rPr>
              <w:t>Entre 60 y 69 años:  $1000,000</w:t>
            </w:r>
          </w:p>
          <w:p w14:paraId="6B3315D2" w14:textId="77777777" w:rsidR="00E54CE6" w:rsidRPr="00E532F9" w:rsidRDefault="0016202A">
            <w:pPr>
              <w:rPr>
                <w:rFonts w:eastAsia="Calibri" w:cs="Times New Roman"/>
                <w:sz w:val="24"/>
                <w:szCs w:val="24"/>
              </w:rPr>
            </w:pPr>
            <w:r>
              <w:rPr>
                <w:sz w:val="24"/>
                <w:szCs w:val="24"/>
              </w:rPr>
              <w:t>Entre 70 y 79 años:  $500,000</w:t>
            </w:r>
          </w:p>
          <w:p w14:paraId="21D906D6" w14:textId="77777777" w:rsidR="00E54CE6" w:rsidRPr="00E532F9" w:rsidRDefault="0016202A">
            <w:pPr>
              <w:rPr>
                <w:rFonts w:eastAsia="Calibri" w:cs="Times New Roman"/>
                <w:sz w:val="24"/>
                <w:szCs w:val="24"/>
              </w:rPr>
            </w:pPr>
            <w:r>
              <w:rPr>
                <w:sz w:val="24"/>
                <w:szCs w:val="24"/>
              </w:rPr>
              <w:t>80 años o más:  $300,000</w:t>
            </w:r>
          </w:p>
        </w:tc>
        <w:tc>
          <w:tcPr>
            <w:tcW w:w="4317" w:type="dxa"/>
          </w:tcPr>
          <w:p w14:paraId="1DE808CD" w14:textId="77777777" w:rsidR="00E54CE6" w:rsidRPr="00E532F9" w:rsidRDefault="0016202A">
            <w:pPr>
              <w:jc w:val="center"/>
              <w:rPr>
                <w:rFonts w:eastAsia="Calibri" w:cs="Times New Roman"/>
                <w:sz w:val="24"/>
                <w:szCs w:val="24"/>
                <w:u w:val="single"/>
              </w:rPr>
            </w:pPr>
            <w:r>
              <w:rPr>
                <w:b/>
                <w:color w:val="0D0D0D"/>
                <w:sz w:val="24"/>
                <w:szCs w:val="24"/>
                <w:u w:val="single"/>
              </w:rPr>
              <w:t>Pruebas Exigidas</w:t>
            </w:r>
          </w:p>
          <w:p w14:paraId="69A657C4" w14:textId="77777777" w:rsidR="00E54CE6" w:rsidRPr="00E532F9" w:rsidRDefault="00E54CE6">
            <w:pPr>
              <w:jc w:val="both"/>
              <w:rPr>
                <w:rFonts w:eastAsia="Calibri" w:cs="Times New Roman"/>
                <w:sz w:val="24"/>
                <w:szCs w:val="24"/>
                <w:u w:val="single"/>
              </w:rPr>
            </w:pPr>
          </w:p>
          <w:p w14:paraId="2D81FC5B" w14:textId="77777777" w:rsidR="00E54CE6" w:rsidRPr="00E532F9" w:rsidRDefault="0016202A">
            <w:pPr>
              <w:jc w:val="both"/>
              <w:rPr>
                <w:rFonts w:eastAsia="Calibri" w:cs="Times New Roman"/>
                <w:sz w:val="24"/>
                <w:szCs w:val="24"/>
              </w:rPr>
            </w:pPr>
            <w:r>
              <w:rPr>
                <w:sz w:val="24"/>
                <w:szCs w:val="24"/>
                <w:u w:val="single"/>
              </w:rPr>
              <w:t>Registros Médicos Contemporáneos de la Enfermedad del Legionario</w:t>
            </w:r>
            <w:r>
              <w:rPr>
                <w:sz w:val="24"/>
                <w:szCs w:val="24"/>
              </w:rPr>
              <w:t xml:space="preserve">: Copia de los registros médicos con fecha entre el 25 de abril de 2014 y el 31 de diciembre de 2018 donde se refleje que el Reclamante fue diagnosticado con la lesión reclamada entre el 25 de abril de 2014 y el 31 de diciembre de 2018 y, en el caso de fallecimiento, la Enfermedad del Legionario fue la causa principal o secundaria de dicho fallecimiento; o certificado de defunción que indique que la causa principal o secundaria del fallecimiento fue la Enfermedad del Legionario.  En el caso de que el Administrador de Reclamaciones emita una Notificación Adversa para un Reclamante de esta Categoría 27, el Administrador de Reclamaciones informará al Reclamante y puede solicitar una declaración jurada según el formulario </w:t>
            </w:r>
            <w:r>
              <w:rPr>
                <w:sz w:val="24"/>
                <w:szCs w:val="24"/>
              </w:rPr>
              <w:lastRenderedPageBreak/>
              <w:t>que se adjunta a esta tabla a fin de contar con un respaldo de la Solicitud de Reconsideración.</w:t>
            </w:r>
          </w:p>
        </w:tc>
      </w:tr>
    </w:tbl>
    <w:p w14:paraId="157FB1B1" w14:textId="77777777" w:rsidR="00E54CE6" w:rsidRPr="00E532F9" w:rsidRDefault="00E54CE6">
      <w:pPr>
        <w:rPr>
          <w:rFonts w:eastAsia="Calibri" w:cs="Times New Roman"/>
        </w:rPr>
      </w:pPr>
    </w:p>
    <w:p w14:paraId="5ED084FA" w14:textId="77777777" w:rsidR="00E54CE6" w:rsidRPr="00E532F9" w:rsidRDefault="0016202A">
      <w:pPr>
        <w:numPr>
          <w:ilvl w:val="0"/>
          <w:numId w:val="3"/>
        </w:numPr>
        <w:contextualSpacing/>
        <w:rPr>
          <w:rFonts w:eastAsia="Calibri" w:cs="Times New Roman"/>
          <w:b/>
          <w:bCs/>
          <w:u w:val="single"/>
        </w:rPr>
      </w:pPr>
      <w:r>
        <w:rPr>
          <w:b/>
          <w:bCs/>
          <w:u w:val="single"/>
        </w:rPr>
        <w:t>Categorías de Daños en Inmuebles y Pérdida Económica Comercial</w:t>
      </w:r>
    </w:p>
    <w:tbl>
      <w:tblPr>
        <w:tblStyle w:val="TableGrid1"/>
        <w:tblW w:w="0" w:type="auto"/>
        <w:tblLook w:val="04A0" w:firstRow="1" w:lastRow="0" w:firstColumn="1" w:lastColumn="0" w:noHBand="0" w:noVBand="1"/>
      </w:tblPr>
      <w:tblGrid>
        <w:gridCol w:w="4316"/>
        <w:gridCol w:w="4317"/>
        <w:gridCol w:w="4317"/>
      </w:tblGrid>
      <w:tr w:rsidR="00E54CE6" w:rsidRPr="00E532F9" w14:paraId="46D76253" w14:textId="77777777">
        <w:tc>
          <w:tcPr>
            <w:tcW w:w="12950" w:type="dxa"/>
            <w:gridSpan w:val="3"/>
            <w:shd w:val="clear" w:color="auto" w:fill="FFF2CC"/>
          </w:tcPr>
          <w:p w14:paraId="008A5513" w14:textId="77777777" w:rsidR="00E54CE6" w:rsidRPr="00E532F9" w:rsidRDefault="0016202A">
            <w:pPr>
              <w:rPr>
                <w:rFonts w:eastAsia="Calibri" w:cs="Times New Roman"/>
                <w:b/>
                <w:bCs/>
                <w:sz w:val="24"/>
                <w:szCs w:val="24"/>
                <w:u w:val="single"/>
              </w:rPr>
            </w:pPr>
            <w:r>
              <w:rPr>
                <w:b/>
                <w:bCs/>
                <w:sz w:val="24"/>
                <w:szCs w:val="24"/>
                <w:u w:val="single"/>
              </w:rPr>
              <w:t>Explicación de las Prestaciones Pecuniarias de la Categoría de Daño en el Inmueble Residencial</w:t>
            </w:r>
          </w:p>
          <w:p w14:paraId="55EE5CBE" w14:textId="77777777" w:rsidR="00E54CE6" w:rsidRPr="00E532F9" w:rsidRDefault="00E54CE6">
            <w:pPr>
              <w:rPr>
                <w:rFonts w:eastAsia="Calibri" w:cs="Times New Roman"/>
                <w:b/>
                <w:bCs/>
                <w:sz w:val="24"/>
                <w:szCs w:val="24"/>
                <w:u w:val="single"/>
              </w:rPr>
            </w:pPr>
          </w:p>
          <w:p w14:paraId="3468D09F" w14:textId="77777777" w:rsidR="00E54CE6" w:rsidRPr="00E532F9" w:rsidRDefault="0016202A">
            <w:pPr>
              <w:numPr>
                <w:ilvl w:val="0"/>
                <w:numId w:val="8"/>
              </w:numPr>
              <w:spacing w:after="240"/>
              <w:contextualSpacing/>
              <w:jc w:val="both"/>
              <w:rPr>
                <w:rFonts w:eastAsia="Calibri" w:cs="Times New Roman"/>
                <w:sz w:val="24"/>
                <w:szCs w:val="24"/>
              </w:rPr>
            </w:pPr>
            <w:r>
              <w:rPr>
                <w:sz w:val="24"/>
                <w:szCs w:val="24"/>
              </w:rPr>
              <w:t>Únicamente una prestación por parcela de inmueble residencial propia o arrendada. Ningún resarcimiento será superior a $1000 por parcela de inmueble residencial.  Si dicha parcela de inmueble cambió de propietario o arrendatario durante el período comprendido entre el 25 de abril de 2014 y el 31 de julio de 2016 y, en consecuencia, hay más de un Reclamante por la misma, entonces, la prestación PX se prorrateará entre todos aquellos que eran propietarios o arrendatarios durante el período comprendido entre el 25 de abril de 2014 y el 31 de julio de 2016.</w:t>
            </w:r>
          </w:p>
          <w:p w14:paraId="341842C6" w14:textId="77777777" w:rsidR="00E54CE6" w:rsidRPr="00E532F9" w:rsidRDefault="00E54CE6">
            <w:pPr>
              <w:spacing w:after="240"/>
              <w:ind w:left="720"/>
              <w:contextualSpacing/>
              <w:jc w:val="both"/>
              <w:rPr>
                <w:rFonts w:eastAsia="Calibri" w:cs="Times New Roman"/>
                <w:sz w:val="24"/>
                <w:szCs w:val="24"/>
              </w:rPr>
            </w:pPr>
          </w:p>
          <w:p w14:paraId="21C665B2" w14:textId="77777777" w:rsidR="00E54CE6" w:rsidRPr="00E532F9" w:rsidRDefault="0016202A">
            <w:pPr>
              <w:numPr>
                <w:ilvl w:val="0"/>
                <w:numId w:val="8"/>
              </w:numPr>
              <w:spacing w:after="240"/>
              <w:contextualSpacing/>
              <w:jc w:val="both"/>
              <w:rPr>
                <w:rFonts w:eastAsia="Calibri" w:cs="Times New Roman"/>
                <w:sz w:val="24"/>
                <w:szCs w:val="24"/>
              </w:rPr>
            </w:pPr>
            <w:r>
              <w:rPr>
                <w:sz w:val="24"/>
                <w:szCs w:val="24"/>
              </w:rPr>
              <w:t>El monto de la Prestación Pecuniaria de la Categoría de Daños en Inmueble Residencial se indica como “PX”.</w:t>
            </w:r>
          </w:p>
          <w:p w14:paraId="5338273E" w14:textId="77777777" w:rsidR="00E54CE6" w:rsidRPr="00E532F9" w:rsidRDefault="00E54CE6">
            <w:pPr>
              <w:spacing w:after="240"/>
              <w:ind w:left="720"/>
              <w:contextualSpacing/>
              <w:jc w:val="both"/>
              <w:rPr>
                <w:rFonts w:eastAsia="Calibri" w:cs="Times New Roman"/>
                <w:sz w:val="24"/>
                <w:szCs w:val="24"/>
              </w:rPr>
            </w:pPr>
          </w:p>
          <w:p w14:paraId="2C465D9A" w14:textId="77777777" w:rsidR="00E54CE6" w:rsidRPr="00E532F9" w:rsidRDefault="0016202A">
            <w:pPr>
              <w:numPr>
                <w:ilvl w:val="0"/>
                <w:numId w:val="8"/>
              </w:numPr>
              <w:spacing w:after="240"/>
              <w:contextualSpacing/>
              <w:jc w:val="both"/>
              <w:rPr>
                <w:rFonts w:eastAsia="Calibri" w:cs="Times New Roman"/>
                <w:sz w:val="24"/>
                <w:szCs w:val="24"/>
              </w:rPr>
            </w:pPr>
            <w:r>
              <w:rPr>
                <w:sz w:val="24"/>
                <w:szCs w:val="24"/>
              </w:rPr>
              <w:t>Se asignará 3% del Fondo de Indemnización Calificado de los Casos del Agua de Flint al total de la Categoría “PX”, tal como se describe en la nota al pie 1.</w:t>
            </w:r>
          </w:p>
          <w:p w14:paraId="22819BE3" w14:textId="77777777" w:rsidR="00E54CE6" w:rsidRPr="00E532F9" w:rsidRDefault="00E54CE6">
            <w:pPr>
              <w:spacing w:after="240"/>
              <w:ind w:left="720"/>
              <w:contextualSpacing/>
              <w:jc w:val="both"/>
              <w:rPr>
                <w:rFonts w:eastAsia="Calibri" w:cs="Times New Roman"/>
                <w:sz w:val="24"/>
                <w:szCs w:val="24"/>
              </w:rPr>
            </w:pPr>
          </w:p>
          <w:p w14:paraId="61461D1E" w14:textId="77777777" w:rsidR="00E54CE6" w:rsidRPr="00E532F9" w:rsidRDefault="0016202A">
            <w:pPr>
              <w:numPr>
                <w:ilvl w:val="0"/>
                <w:numId w:val="8"/>
              </w:numPr>
              <w:spacing w:after="240"/>
              <w:jc w:val="both"/>
              <w:rPr>
                <w:rFonts w:eastAsia="Calibri" w:cs="Times New Roman"/>
              </w:rPr>
            </w:pPr>
            <w:r>
              <w:rPr>
                <w:sz w:val="24"/>
                <w:szCs w:val="24"/>
              </w:rPr>
              <w:t xml:space="preserve">El Administrador de Reclamaciones determinará el monto real de “PX” en dólares después de procesar todas las Reclamaciones (a excepción de las Reclamaciones Futuras del Fondo de Indemnización </w:t>
            </w:r>
            <w:proofErr w:type="spellStart"/>
            <w:r>
              <w:rPr>
                <w:sz w:val="24"/>
                <w:szCs w:val="24"/>
              </w:rPr>
              <w:t>Subcalificado</w:t>
            </w:r>
            <w:proofErr w:type="spellEnd"/>
            <w:r>
              <w:rPr>
                <w:sz w:val="24"/>
                <w:szCs w:val="24"/>
              </w:rPr>
              <w:t xml:space="preserve"> para Menores de Edad), dado que “PX” se basa, en parte, en el número de Reclamantes que reciben las Prestaciones Pecuniarias en esta Categoría, sujeto al límite que establece que ningún resarcimiento en esta Categoría será superior a $1,000 por parcela de inmueble residencial.</w:t>
            </w:r>
          </w:p>
          <w:p w14:paraId="59D7F6F1" w14:textId="77777777" w:rsidR="00E54CE6" w:rsidRPr="00E532F9" w:rsidRDefault="0016202A">
            <w:pPr>
              <w:numPr>
                <w:ilvl w:val="0"/>
                <w:numId w:val="8"/>
              </w:numPr>
              <w:spacing w:after="240"/>
              <w:jc w:val="both"/>
              <w:rPr>
                <w:rFonts w:eastAsia="Calibri" w:cs="Times New Roman"/>
              </w:rPr>
            </w:pPr>
            <w:r>
              <w:rPr>
                <w:sz w:val="24"/>
                <w:szCs w:val="24"/>
              </w:rPr>
              <w:lastRenderedPageBreak/>
              <w:t>Si bien se pueden estimar los montos de la Prestación Pecuniaria sobre la base de “PX” antes de que el Administrador de Reclamaciones procese efectivamente todas las Reclamaciones, serán solo estimaciones que están sujetas a un número de variables que no se pueden determinar hasta que se procesen todas las Reclamaciones. Por lo tanto, las Prestaciones Pecuniarias reales podrían variar significativamente de las estimaciones previas de tales prestaciones.</w:t>
            </w:r>
          </w:p>
          <w:p w14:paraId="4D295CBB" w14:textId="77777777" w:rsidR="00E54CE6" w:rsidRPr="00E532F9" w:rsidRDefault="00E54CE6">
            <w:pPr>
              <w:spacing w:after="240"/>
              <w:jc w:val="both"/>
              <w:rPr>
                <w:rFonts w:eastAsia="Calibri" w:cs="Times New Roman"/>
              </w:rPr>
            </w:pPr>
          </w:p>
        </w:tc>
      </w:tr>
      <w:tr w:rsidR="00E54CE6" w:rsidRPr="00E532F9" w14:paraId="75260E04" w14:textId="77777777">
        <w:tc>
          <w:tcPr>
            <w:tcW w:w="12950" w:type="dxa"/>
            <w:gridSpan w:val="3"/>
            <w:shd w:val="clear" w:color="auto" w:fill="B4C6E7"/>
          </w:tcPr>
          <w:p w14:paraId="4FE3F5AC" w14:textId="77777777" w:rsidR="00E54CE6" w:rsidRPr="00E532F9" w:rsidRDefault="00E54CE6">
            <w:pPr>
              <w:jc w:val="center"/>
              <w:rPr>
                <w:rFonts w:eastAsia="Calibri" w:cs="Times New Roman"/>
                <w:b/>
                <w:sz w:val="24"/>
                <w:szCs w:val="24"/>
                <w:u w:val="single"/>
              </w:rPr>
            </w:pPr>
          </w:p>
          <w:p w14:paraId="7754BA6C" w14:textId="77777777" w:rsidR="00E54CE6" w:rsidRPr="00E532F9" w:rsidRDefault="0016202A">
            <w:pPr>
              <w:jc w:val="center"/>
              <w:rPr>
                <w:rFonts w:eastAsia="Calibri" w:cs="Times New Roman"/>
                <w:b/>
                <w:caps/>
                <w:sz w:val="24"/>
                <w:szCs w:val="24"/>
                <w:u w:val="single"/>
              </w:rPr>
            </w:pPr>
            <w:r>
              <w:rPr>
                <w:b/>
                <w:caps/>
                <w:sz w:val="24"/>
                <w:szCs w:val="24"/>
                <w:u w:val="single"/>
              </w:rPr>
              <w:t>Categoría 28</w:t>
            </w:r>
          </w:p>
          <w:p w14:paraId="0880B381" w14:textId="77777777" w:rsidR="00E54CE6" w:rsidRPr="00E532F9" w:rsidRDefault="0016202A">
            <w:pPr>
              <w:autoSpaceDE w:val="0"/>
              <w:autoSpaceDN w:val="0"/>
              <w:adjustRightInd w:val="0"/>
              <w:contextualSpacing/>
              <w:jc w:val="center"/>
              <w:rPr>
                <w:rFonts w:eastAsia="Calibri" w:cs="Times New Roman"/>
                <w:sz w:val="24"/>
                <w:szCs w:val="24"/>
                <w:u w:val="single"/>
              </w:rPr>
            </w:pPr>
            <w:r>
              <w:rPr>
                <w:sz w:val="24"/>
                <w:szCs w:val="24"/>
                <w:u w:val="single"/>
              </w:rPr>
              <w:t>Daño en el Inmueble Residencial</w:t>
            </w:r>
          </w:p>
          <w:p w14:paraId="4C730F7D" w14:textId="77777777" w:rsidR="00E54CE6" w:rsidRPr="00E532F9" w:rsidRDefault="00E54CE6">
            <w:pPr>
              <w:autoSpaceDE w:val="0"/>
              <w:autoSpaceDN w:val="0"/>
              <w:adjustRightInd w:val="0"/>
              <w:contextualSpacing/>
              <w:jc w:val="center"/>
              <w:rPr>
                <w:rFonts w:eastAsia="Calibri" w:cs="Times New Roman"/>
                <w:b/>
                <w:sz w:val="24"/>
                <w:szCs w:val="24"/>
                <w:u w:val="single"/>
              </w:rPr>
            </w:pPr>
          </w:p>
        </w:tc>
      </w:tr>
      <w:tr w:rsidR="00E54CE6" w:rsidRPr="00E532F9" w14:paraId="5CE6ADC6" w14:textId="77777777">
        <w:tc>
          <w:tcPr>
            <w:tcW w:w="4316" w:type="dxa"/>
          </w:tcPr>
          <w:p w14:paraId="4FF4A6F7" w14:textId="77777777" w:rsidR="00E54CE6" w:rsidRPr="00E532F9" w:rsidRDefault="0016202A">
            <w:pPr>
              <w:autoSpaceDE w:val="0"/>
              <w:autoSpaceDN w:val="0"/>
              <w:adjustRightInd w:val="0"/>
              <w:jc w:val="center"/>
              <w:rPr>
                <w:rFonts w:eastAsia="Calibri" w:cs="Times New Roman"/>
                <w:b/>
                <w:sz w:val="24"/>
                <w:szCs w:val="24"/>
                <w:u w:val="single"/>
              </w:rPr>
            </w:pPr>
            <w:r>
              <w:rPr>
                <w:b/>
                <w:sz w:val="24"/>
                <w:szCs w:val="24"/>
                <w:u w:val="single"/>
              </w:rPr>
              <w:t>Descripción de la Categoría</w:t>
            </w:r>
          </w:p>
          <w:p w14:paraId="77B620C7" w14:textId="77777777" w:rsidR="00E54CE6" w:rsidRPr="00E532F9" w:rsidRDefault="00E54CE6">
            <w:pPr>
              <w:autoSpaceDE w:val="0"/>
              <w:autoSpaceDN w:val="0"/>
              <w:adjustRightInd w:val="0"/>
              <w:jc w:val="both"/>
              <w:rPr>
                <w:rFonts w:eastAsia="Calibri" w:cs="Times New Roman"/>
                <w:b/>
                <w:sz w:val="24"/>
                <w:szCs w:val="24"/>
                <w:u w:val="single"/>
              </w:rPr>
            </w:pPr>
          </w:p>
          <w:p w14:paraId="21146456" w14:textId="77777777" w:rsidR="00E54CE6" w:rsidRPr="00E532F9" w:rsidRDefault="0016202A">
            <w:pPr>
              <w:autoSpaceDE w:val="0"/>
              <w:autoSpaceDN w:val="0"/>
              <w:adjustRightInd w:val="0"/>
              <w:jc w:val="both"/>
              <w:rPr>
                <w:rFonts w:eastAsia="Calibri" w:cs="Times New Roman"/>
                <w:b/>
                <w:sz w:val="24"/>
                <w:szCs w:val="24"/>
                <w:u w:val="single"/>
              </w:rPr>
            </w:pPr>
            <w:r>
              <w:rPr>
                <w:b/>
                <w:sz w:val="24"/>
                <w:szCs w:val="24"/>
                <w:u w:val="single"/>
              </w:rPr>
              <w:t>Propietario de Inmueble Residencial/Residencia, Arrendatario de Inmueble Residencial/Residencia, Disminución del Valor del Inmueble Residencial, Daño en las Tuberías o en el Inmueble donde se Reside.</w:t>
            </w:r>
          </w:p>
          <w:p w14:paraId="2659FC67" w14:textId="77777777" w:rsidR="00E54CE6" w:rsidRPr="00E532F9" w:rsidRDefault="00E54CE6">
            <w:pPr>
              <w:autoSpaceDE w:val="0"/>
              <w:autoSpaceDN w:val="0"/>
              <w:adjustRightInd w:val="0"/>
              <w:jc w:val="both"/>
              <w:rPr>
                <w:rFonts w:eastAsia="Calibri" w:cs="Times New Roman"/>
                <w:sz w:val="24"/>
                <w:szCs w:val="24"/>
                <w:u w:val="single"/>
              </w:rPr>
            </w:pPr>
          </w:p>
          <w:p w14:paraId="6534C7FE" w14:textId="77777777" w:rsidR="00E54CE6" w:rsidRPr="00E532F9" w:rsidRDefault="0016202A">
            <w:pPr>
              <w:autoSpaceDE w:val="0"/>
              <w:autoSpaceDN w:val="0"/>
              <w:adjustRightInd w:val="0"/>
              <w:jc w:val="both"/>
              <w:rPr>
                <w:rFonts w:eastAsia="Calibri" w:cs="Times New Roman"/>
                <w:sz w:val="24"/>
                <w:szCs w:val="24"/>
              </w:rPr>
            </w:pPr>
            <w:r>
              <w:rPr>
                <w:sz w:val="24"/>
                <w:szCs w:val="24"/>
              </w:rPr>
              <w:t>Todas aquellas personas que eran propietarias o arrendatarias de una parcela de un inmueble residencial en la Ciudad de Flint, siendo que dicho inmueble residencial recibió agua de Flint al o entre el 25 de abril de 2014 y el 31 de julio de 2016.  Esta Categoría no incluye a propietarios que también alquilaron o de alguna forma tuvieron ingresos de su inmueble residencial, ya que la Categoría 29 contempla dicha situación.</w:t>
            </w:r>
          </w:p>
          <w:p w14:paraId="34E94D8A" w14:textId="77777777" w:rsidR="00E54CE6" w:rsidRPr="00E532F9" w:rsidRDefault="00E54CE6">
            <w:pPr>
              <w:rPr>
                <w:rFonts w:eastAsia="Calibri" w:cs="Times New Roman"/>
                <w:sz w:val="24"/>
                <w:szCs w:val="24"/>
              </w:rPr>
            </w:pPr>
          </w:p>
        </w:tc>
        <w:tc>
          <w:tcPr>
            <w:tcW w:w="4317" w:type="dxa"/>
          </w:tcPr>
          <w:p w14:paraId="7550810B" w14:textId="77777777" w:rsidR="00E54CE6" w:rsidRPr="00E532F9" w:rsidRDefault="0016202A">
            <w:pPr>
              <w:jc w:val="center"/>
              <w:rPr>
                <w:rFonts w:eastAsia="Calibri" w:cs="Times New Roman"/>
                <w:b/>
                <w:color w:val="0070C0"/>
                <w:sz w:val="24"/>
                <w:szCs w:val="24"/>
              </w:rPr>
            </w:pPr>
            <w:r>
              <w:rPr>
                <w:b/>
                <w:color w:val="0D0D0D"/>
                <w:sz w:val="24"/>
                <w:szCs w:val="24"/>
                <w:u w:val="single"/>
              </w:rPr>
              <w:t>Prestaciones Pecuniarias</w:t>
            </w:r>
          </w:p>
          <w:p w14:paraId="2C738200" w14:textId="77777777" w:rsidR="00E54CE6" w:rsidRPr="00E532F9" w:rsidRDefault="00E54CE6">
            <w:pPr>
              <w:jc w:val="center"/>
              <w:rPr>
                <w:rFonts w:eastAsia="Calibri" w:cs="Times New Roman"/>
                <w:b/>
                <w:color w:val="0070C0"/>
                <w:sz w:val="24"/>
                <w:szCs w:val="24"/>
              </w:rPr>
            </w:pPr>
          </w:p>
          <w:p w14:paraId="664F0F57" w14:textId="77777777" w:rsidR="00E54CE6" w:rsidRPr="00E532F9" w:rsidRDefault="0016202A">
            <w:pPr>
              <w:jc w:val="center"/>
              <w:rPr>
                <w:rFonts w:eastAsia="Calibri" w:cs="Times New Roman"/>
                <w:b/>
                <w:color w:val="0070C0"/>
                <w:sz w:val="24"/>
                <w:szCs w:val="24"/>
              </w:rPr>
            </w:pPr>
            <w:r>
              <w:rPr>
                <w:b/>
                <w:color w:val="0070C0"/>
                <w:sz w:val="24"/>
                <w:szCs w:val="24"/>
              </w:rPr>
              <w:t>PX</w:t>
            </w:r>
          </w:p>
          <w:p w14:paraId="020C788A" w14:textId="77777777" w:rsidR="00E54CE6" w:rsidRPr="00E532F9" w:rsidRDefault="00E54CE6">
            <w:pPr>
              <w:jc w:val="center"/>
              <w:rPr>
                <w:rFonts w:eastAsia="Calibri" w:cs="Times New Roman"/>
                <w:b/>
                <w:color w:val="0070C0"/>
                <w:sz w:val="24"/>
                <w:szCs w:val="24"/>
              </w:rPr>
            </w:pPr>
          </w:p>
          <w:p w14:paraId="33790A3E" w14:textId="77777777" w:rsidR="00E54CE6" w:rsidRPr="00E532F9" w:rsidRDefault="00E54CE6">
            <w:pPr>
              <w:jc w:val="both"/>
              <w:rPr>
                <w:rFonts w:eastAsia="Calibri" w:cs="Times New Roman"/>
                <w:b/>
                <w:color w:val="0070C0"/>
                <w:sz w:val="24"/>
                <w:szCs w:val="24"/>
              </w:rPr>
            </w:pPr>
          </w:p>
          <w:p w14:paraId="458ACAA3" w14:textId="77777777" w:rsidR="00E54CE6" w:rsidRPr="00E532F9" w:rsidRDefault="00E54CE6">
            <w:pPr>
              <w:jc w:val="both"/>
              <w:rPr>
                <w:rFonts w:eastAsia="Calibri" w:cs="Times New Roman"/>
              </w:rPr>
            </w:pPr>
          </w:p>
        </w:tc>
        <w:tc>
          <w:tcPr>
            <w:tcW w:w="4317" w:type="dxa"/>
          </w:tcPr>
          <w:p w14:paraId="788C9F16" w14:textId="77777777" w:rsidR="00E54CE6" w:rsidRPr="00E532F9" w:rsidRDefault="0016202A">
            <w:pPr>
              <w:jc w:val="center"/>
              <w:rPr>
                <w:rFonts w:eastAsia="Calibri" w:cs="Times New Roman"/>
                <w:sz w:val="24"/>
                <w:szCs w:val="24"/>
                <w:u w:val="single"/>
              </w:rPr>
            </w:pPr>
            <w:r>
              <w:rPr>
                <w:b/>
                <w:color w:val="0D0D0D"/>
                <w:sz w:val="24"/>
                <w:szCs w:val="24"/>
                <w:u w:val="single"/>
              </w:rPr>
              <w:t>Pruebas Exigidas</w:t>
            </w:r>
          </w:p>
          <w:p w14:paraId="45C000F5" w14:textId="77777777" w:rsidR="00E54CE6" w:rsidRPr="00E532F9" w:rsidRDefault="00E54CE6">
            <w:pPr>
              <w:jc w:val="both"/>
              <w:rPr>
                <w:rFonts w:eastAsia="Calibri" w:cs="Times New Roman"/>
                <w:sz w:val="24"/>
                <w:szCs w:val="24"/>
                <w:u w:val="single"/>
              </w:rPr>
            </w:pPr>
          </w:p>
          <w:p w14:paraId="71F19B7B" w14:textId="77777777" w:rsidR="00E54CE6" w:rsidRPr="00E532F9" w:rsidRDefault="0016202A">
            <w:pPr>
              <w:jc w:val="both"/>
              <w:rPr>
                <w:rFonts w:eastAsia="Calibri" w:cs="Times New Roman"/>
                <w:sz w:val="24"/>
                <w:szCs w:val="24"/>
              </w:rPr>
            </w:pPr>
            <w:r>
              <w:rPr>
                <w:sz w:val="24"/>
                <w:szCs w:val="24"/>
                <w:u w:val="single"/>
              </w:rPr>
              <w:t>Prueba de Titularidad o Arrendamiento</w:t>
            </w:r>
            <w:r>
              <w:rPr>
                <w:sz w:val="24"/>
                <w:szCs w:val="24"/>
              </w:rPr>
              <w:t>: Copia de cualquier documento que sirva de prueba de la titularidad del inmueble residencial o de la calidad de arrendatario residencial en la Ciudad de Flint durante el período comprendido entre el 25 de abril de 2014 y el 31 de julio de 2016, además de la confirmación de que el inmueble recibía el servicio de agua de Flint, incluidos, aunque no en forma limitada, una factura de agua, escritura, contrato de alojamiento, estado de cuenta de la hipoteca, arrendamiento, declaración del impuesto a las ganancias o a los bienes.  Se deberán identificar todos los propietarios, arrendatarios y otras partes interesadas en el inmueble en el formulario de Reclamación, de modo que el destinatario legal adecuado pueda recibir la prestación.</w:t>
            </w:r>
          </w:p>
        </w:tc>
      </w:tr>
    </w:tbl>
    <w:p w14:paraId="18A57AF2" w14:textId="77777777" w:rsidR="00E54CE6" w:rsidRPr="00E532F9" w:rsidRDefault="00E54CE6">
      <w:pPr>
        <w:rPr>
          <w:rFonts w:eastAsia="Calibri" w:cs="Times New Roman"/>
        </w:rPr>
      </w:pPr>
    </w:p>
    <w:tbl>
      <w:tblPr>
        <w:tblStyle w:val="TableGrid1"/>
        <w:tblW w:w="0" w:type="auto"/>
        <w:tblLook w:val="04A0" w:firstRow="1" w:lastRow="0" w:firstColumn="1" w:lastColumn="0" w:noHBand="0" w:noVBand="1"/>
      </w:tblPr>
      <w:tblGrid>
        <w:gridCol w:w="4316"/>
        <w:gridCol w:w="4317"/>
        <w:gridCol w:w="4317"/>
      </w:tblGrid>
      <w:tr w:rsidR="00E54CE6" w:rsidRPr="00E532F9" w14:paraId="47E5441E" w14:textId="77777777">
        <w:tc>
          <w:tcPr>
            <w:tcW w:w="12950" w:type="dxa"/>
            <w:gridSpan w:val="3"/>
            <w:shd w:val="clear" w:color="auto" w:fill="FFF2CC"/>
          </w:tcPr>
          <w:p w14:paraId="1F6A4C9D" w14:textId="77777777" w:rsidR="00E54CE6" w:rsidRPr="00E532F9" w:rsidRDefault="0016202A">
            <w:pPr>
              <w:rPr>
                <w:rFonts w:eastAsia="Calibri" w:cs="Times New Roman"/>
                <w:b/>
                <w:bCs/>
                <w:sz w:val="24"/>
                <w:szCs w:val="24"/>
                <w:u w:val="single"/>
              </w:rPr>
            </w:pPr>
            <w:r>
              <w:rPr>
                <w:b/>
                <w:bCs/>
                <w:sz w:val="24"/>
                <w:szCs w:val="24"/>
                <w:u w:val="single"/>
              </w:rPr>
              <w:lastRenderedPageBreak/>
              <w:t>Explicación de las Prestaciones Pecuniarias de la Categoría para Daños en el Inmueble Comercial</w:t>
            </w:r>
          </w:p>
          <w:p w14:paraId="4C09ED70" w14:textId="77777777" w:rsidR="00E54CE6" w:rsidRPr="00E532F9" w:rsidRDefault="00E54CE6">
            <w:pPr>
              <w:rPr>
                <w:rFonts w:eastAsia="Calibri" w:cs="Times New Roman"/>
                <w:b/>
                <w:bCs/>
                <w:sz w:val="24"/>
                <w:szCs w:val="24"/>
                <w:u w:val="single"/>
              </w:rPr>
            </w:pPr>
          </w:p>
          <w:p w14:paraId="33E6C9B0" w14:textId="77777777" w:rsidR="00E54CE6" w:rsidRPr="00E532F9" w:rsidRDefault="0016202A">
            <w:pPr>
              <w:numPr>
                <w:ilvl w:val="0"/>
                <w:numId w:val="8"/>
              </w:numPr>
              <w:spacing w:after="240"/>
              <w:contextualSpacing/>
              <w:jc w:val="both"/>
              <w:rPr>
                <w:rFonts w:eastAsia="Calibri" w:cs="Times New Roman"/>
                <w:sz w:val="24"/>
                <w:szCs w:val="24"/>
              </w:rPr>
            </w:pPr>
            <w:r>
              <w:rPr>
                <w:sz w:val="24"/>
                <w:szCs w:val="24"/>
              </w:rPr>
              <w:t>Únicamente una prestación por negocio o parcela de inmueble. Ningún resarcimiento será superior a $5,000 por negocio o parcela de inmueble.  Si dicha parcela de inmueble cambió de propietario durante el período comprendido entre el 25 de abril de 2014 y el 31 de julio de 2016 y, en consecuencia, hay más de un Reclamante por la misma; entonces, la prestación “BX” se prorrateará entre todos aquellos que fueran propietarios durante el período comprendido entre el 25 de abril de 2014 y el 31 de julio de 2016.</w:t>
            </w:r>
          </w:p>
          <w:p w14:paraId="37D44346" w14:textId="77777777" w:rsidR="00E54CE6" w:rsidRPr="00E532F9" w:rsidRDefault="00E54CE6">
            <w:pPr>
              <w:spacing w:after="240"/>
              <w:ind w:left="720"/>
              <w:contextualSpacing/>
              <w:jc w:val="both"/>
              <w:rPr>
                <w:rFonts w:eastAsia="Calibri" w:cs="Times New Roman"/>
                <w:sz w:val="24"/>
                <w:szCs w:val="24"/>
              </w:rPr>
            </w:pPr>
          </w:p>
          <w:p w14:paraId="6525A234" w14:textId="77777777" w:rsidR="00E54CE6" w:rsidRPr="00E532F9" w:rsidRDefault="0016202A">
            <w:pPr>
              <w:numPr>
                <w:ilvl w:val="0"/>
                <w:numId w:val="8"/>
              </w:numPr>
              <w:spacing w:after="240"/>
              <w:contextualSpacing/>
              <w:jc w:val="both"/>
              <w:rPr>
                <w:rFonts w:eastAsia="Calibri" w:cs="Times New Roman"/>
                <w:sz w:val="24"/>
                <w:szCs w:val="24"/>
              </w:rPr>
            </w:pPr>
            <w:r>
              <w:rPr>
                <w:sz w:val="24"/>
                <w:szCs w:val="24"/>
              </w:rPr>
              <w:t>Los montos de la Prestación Pecuniaria para las Categorías de Daño en el Inmueble Comercial y Pérdida Económica Comercial se indican como “BX”.</w:t>
            </w:r>
          </w:p>
          <w:p w14:paraId="6FCC938F" w14:textId="77777777" w:rsidR="00E54CE6" w:rsidRPr="00E532F9" w:rsidRDefault="00E54CE6">
            <w:pPr>
              <w:spacing w:after="240"/>
              <w:ind w:left="720"/>
              <w:contextualSpacing/>
              <w:jc w:val="both"/>
              <w:rPr>
                <w:rFonts w:eastAsia="Calibri" w:cs="Times New Roman"/>
                <w:sz w:val="24"/>
                <w:szCs w:val="24"/>
              </w:rPr>
            </w:pPr>
          </w:p>
          <w:p w14:paraId="1645B9A8" w14:textId="77777777" w:rsidR="00E54CE6" w:rsidRPr="00E532F9" w:rsidRDefault="0016202A">
            <w:pPr>
              <w:numPr>
                <w:ilvl w:val="0"/>
                <w:numId w:val="8"/>
              </w:numPr>
              <w:spacing w:after="240"/>
              <w:jc w:val="both"/>
              <w:rPr>
                <w:rFonts w:eastAsia="Calibri" w:cs="Times New Roman"/>
                <w:sz w:val="24"/>
                <w:szCs w:val="24"/>
              </w:rPr>
            </w:pPr>
            <w:r>
              <w:rPr>
                <w:sz w:val="24"/>
                <w:szCs w:val="24"/>
              </w:rPr>
              <w:t>Se asignará 0.5% del Fondo de Indemnización Calificado de los Casos del Agua de Flint al total combinado de las dos Categorías BX, tal como se describe en la nota al pie 1.</w:t>
            </w:r>
          </w:p>
          <w:p w14:paraId="0BF01A4E" w14:textId="77777777" w:rsidR="00E54CE6" w:rsidRPr="00E532F9" w:rsidRDefault="0016202A">
            <w:pPr>
              <w:numPr>
                <w:ilvl w:val="0"/>
                <w:numId w:val="8"/>
              </w:numPr>
              <w:spacing w:after="240"/>
              <w:jc w:val="both"/>
              <w:rPr>
                <w:rFonts w:eastAsia="Calibri" w:cs="Times New Roman"/>
                <w:sz w:val="24"/>
                <w:szCs w:val="24"/>
              </w:rPr>
            </w:pPr>
            <w:r>
              <w:rPr>
                <w:sz w:val="24"/>
                <w:szCs w:val="24"/>
              </w:rPr>
              <w:t xml:space="preserve">El Administrador de Reclamaciones determinará el monto real de “BX” en dólares después de procesar todas las Reclamaciones (a excepción de las Reclamaciones Futuras del Fondo de Indemnización </w:t>
            </w:r>
            <w:proofErr w:type="spellStart"/>
            <w:r>
              <w:rPr>
                <w:sz w:val="24"/>
                <w:szCs w:val="24"/>
              </w:rPr>
              <w:t>Subcalificado</w:t>
            </w:r>
            <w:proofErr w:type="spellEnd"/>
            <w:r>
              <w:rPr>
                <w:sz w:val="24"/>
                <w:szCs w:val="24"/>
              </w:rPr>
              <w:t xml:space="preserve"> para Menores de Edad) y según la presentación de la prueba de daños en el inmueble por parte de cada Reclamante, dado que “BX” también puede depender en parte del número de Reclamantes que reciben las Prestaciones Pecuniarias en las Categorías BX, sujeto al límite que establece que ningún resarcimiento en las Categorías BX será superior a $5,000 por negocio, o parcela de bienes inmuebles, según corresponda.</w:t>
            </w:r>
          </w:p>
          <w:p w14:paraId="152DE5A0" w14:textId="77777777" w:rsidR="00E54CE6" w:rsidRPr="00E532F9" w:rsidRDefault="0016202A">
            <w:pPr>
              <w:numPr>
                <w:ilvl w:val="0"/>
                <w:numId w:val="8"/>
              </w:numPr>
              <w:spacing w:after="240"/>
              <w:jc w:val="both"/>
              <w:rPr>
                <w:rFonts w:eastAsia="Calibri" w:cs="Times New Roman"/>
                <w:sz w:val="24"/>
                <w:szCs w:val="24"/>
              </w:rPr>
            </w:pPr>
            <w:r>
              <w:rPr>
                <w:sz w:val="24"/>
                <w:szCs w:val="24"/>
              </w:rPr>
              <w:t>Si el monto total de las reclamaciones válidas de las Categorías BX excede el 0.5% asignado del Fondo de Indemnización Calificado de los Casos del Agua de Flint, tal como se describe en la nota al pie 1, entonces, el pago de las Categorías BX se prorrateará considerando dicha asignación de 0.5%.  Sin embargo, en ese caso, si el pago promedio de las Categorías BX es inferior a $100 por Reclamante, entonces, el Administrador de Reclamaciones no pagará ninguna Prestación Pecuniaria inferior a $100 en tales Categorías BX y ningún Reclamante tendrá derecho a una prestación inferior a $100.  Cualquier Prestación Pecuniaria de las Categorías BX que resulte inferior a $100 se considerará de valor cero.  El Administrador de Reclamaciones calculará, entonces, las Prestaciones Pecuniarias de las Categorías BX sin considerar ninguna de tales prestaciones de valor cero.</w:t>
            </w:r>
          </w:p>
          <w:p w14:paraId="1CCEE2F3" w14:textId="77777777" w:rsidR="00E54CE6" w:rsidRPr="00E532F9" w:rsidRDefault="0016202A">
            <w:pPr>
              <w:numPr>
                <w:ilvl w:val="0"/>
                <w:numId w:val="8"/>
              </w:numPr>
              <w:spacing w:after="240"/>
              <w:jc w:val="both"/>
              <w:rPr>
                <w:rFonts w:eastAsia="Calibri" w:cs="Times New Roman"/>
              </w:rPr>
            </w:pPr>
            <w:r>
              <w:rPr>
                <w:sz w:val="24"/>
                <w:szCs w:val="24"/>
              </w:rPr>
              <w:t xml:space="preserve">Si bien se pueden estimar los montos de la Prestación Pecuniaria sobre la base de “BX” antes de que el Administrador de Reclamaciones procese efectivamente todas las Reclamaciones, serán solo estimaciones que están sujetas a un número de </w:t>
            </w:r>
            <w:r>
              <w:rPr>
                <w:sz w:val="24"/>
                <w:szCs w:val="24"/>
              </w:rPr>
              <w:lastRenderedPageBreak/>
              <w:t>variables que no se pueden determinar hasta que se procesen todas las Reclamaciones. Por lo tanto, las Prestaciones Pecuniarias reales podrían variar significativamente de las estimaciones previas de tales prestaciones.</w:t>
            </w:r>
          </w:p>
        </w:tc>
      </w:tr>
      <w:tr w:rsidR="00E54CE6" w:rsidRPr="00E532F9" w14:paraId="519C4E30" w14:textId="77777777">
        <w:tc>
          <w:tcPr>
            <w:tcW w:w="12950" w:type="dxa"/>
            <w:gridSpan w:val="3"/>
            <w:shd w:val="clear" w:color="auto" w:fill="B4C6E7"/>
          </w:tcPr>
          <w:p w14:paraId="41730372" w14:textId="77777777" w:rsidR="00E54CE6" w:rsidRPr="00E532F9" w:rsidRDefault="00E54CE6">
            <w:pPr>
              <w:jc w:val="center"/>
              <w:rPr>
                <w:rFonts w:eastAsia="Calibri" w:cs="Times New Roman"/>
                <w:b/>
                <w:sz w:val="24"/>
                <w:szCs w:val="24"/>
                <w:u w:val="single"/>
              </w:rPr>
            </w:pPr>
          </w:p>
          <w:p w14:paraId="7458105E" w14:textId="77777777" w:rsidR="00E54CE6" w:rsidRPr="00E532F9" w:rsidRDefault="0016202A">
            <w:pPr>
              <w:jc w:val="center"/>
              <w:rPr>
                <w:rFonts w:eastAsia="Calibri" w:cs="Times New Roman"/>
                <w:b/>
                <w:caps/>
                <w:sz w:val="24"/>
                <w:szCs w:val="24"/>
                <w:u w:val="single"/>
              </w:rPr>
            </w:pPr>
            <w:r>
              <w:rPr>
                <w:b/>
                <w:caps/>
                <w:sz w:val="24"/>
                <w:szCs w:val="24"/>
                <w:u w:val="single"/>
              </w:rPr>
              <w:t>Categoría 29</w:t>
            </w:r>
          </w:p>
          <w:p w14:paraId="7178CBD3" w14:textId="77777777" w:rsidR="00E54CE6" w:rsidRPr="00E532F9" w:rsidRDefault="0016202A">
            <w:pPr>
              <w:autoSpaceDE w:val="0"/>
              <w:autoSpaceDN w:val="0"/>
              <w:adjustRightInd w:val="0"/>
              <w:contextualSpacing/>
              <w:jc w:val="center"/>
              <w:rPr>
                <w:rFonts w:eastAsia="Calibri" w:cs="Times New Roman"/>
                <w:b/>
                <w:sz w:val="24"/>
                <w:szCs w:val="24"/>
                <w:u w:val="single"/>
              </w:rPr>
            </w:pPr>
            <w:r>
              <w:rPr>
                <w:sz w:val="24"/>
                <w:szCs w:val="24"/>
                <w:u w:val="single"/>
              </w:rPr>
              <w:t>Daño en el Inmueble Comercial</w:t>
            </w:r>
            <w:r>
              <w:rPr>
                <w:b/>
                <w:sz w:val="24"/>
                <w:szCs w:val="24"/>
                <w:u w:val="single"/>
              </w:rPr>
              <w:t xml:space="preserve"> </w:t>
            </w:r>
          </w:p>
          <w:p w14:paraId="42304A39" w14:textId="77777777" w:rsidR="00E54CE6" w:rsidRPr="00E532F9" w:rsidRDefault="00E54CE6">
            <w:pPr>
              <w:autoSpaceDE w:val="0"/>
              <w:autoSpaceDN w:val="0"/>
              <w:adjustRightInd w:val="0"/>
              <w:contextualSpacing/>
              <w:jc w:val="center"/>
              <w:rPr>
                <w:rFonts w:eastAsia="Calibri" w:cs="Times New Roman"/>
                <w:b/>
                <w:sz w:val="24"/>
                <w:szCs w:val="24"/>
                <w:u w:val="single"/>
              </w:rPr>
            </w:pPr>
          </w:p>
        </w:tc>
      </w:tr>
      <w:tr w:rsidR="00E54CE6" w:rsidRPr="00E532F9" w14:paraId="03228FE2" w14:textId="77777777">
        <w:tc>
          <w:tcPr>
            <w:tcW w:w="4316" w:type="dxa"/>
          </w:tcPr>
          <w:p w14:paraId="74706D56" w14:textId="77777777" w:rsidR="00E54CE6" w:rsidRPr="00E532F9" w:rsidRDefault="0016202A">
            <w:pPr>
              <w:autoSpaceDE w:val="0"/>
              <w:autoSpaceDN w:val="0"/>
              <w:adjustRightInd w:val="0"/>
              <w:jc w:val="center"/>
              <w:rPr>
                <w:rFonts w:eastAsia="Calibri" w:cs="Times New Roman"/>
                <w:b/>
                <w:bCs/>
                <w:sz w:val="24"/>
                <w:szCs w:val="24"/>
                <w:u w:val="single"/>
              </w:rPr>
            </w:pPr>
            <w:r>
              <w:rPr>
                <w:b/>
                <w:bCs/>
                <w:sz w:val="24"/>
                <w:szCs w:val="24"/>
                <w:u w:val="single"/>
              </w:rPr>
              <w:t>Descripción de la Categoría</w:t>
            </w:r>
          </w:p>
          <w:p w14:paraId="181F7DA5" w14:textId="77777777" w:rsidR="00E54CE6" w:rsidRPr="00E532F9" w:rsidRDefault="00E54CE6">
            <w:pPr>
              <w:autoSpaceDE w:val="0"/>
              <w:autoSpaceDN w:val="0"/>
              <w:adjustRightInd w:val="0"/>
              <w:jc w:val="both"/>
              <w:rPr>
                <w:rFonts w:eastAsia="Calibri" w:cs="Times New Roman"/>
                <w:sz w:val="24"/>
                <w:szCs w:val="24"/>
              </w:rPr>
            </w:pPr>
          </w:p>
          <w:p w14:paraId="0B23F118" w14:textId="77777777" w:rsidR="00E54CE6" w:rsidRPr="00E532F9" w:rsidRDefault="0016202A">
            <w:pPr>
              <w:autoSpaceDE w:val="0"/>
              <w:autoSpaceDN w:val="0"/>
              <w:adjustRightInd w:val="0"/>
              <w:jc w:val="both"/>
              <w:rPr>
                <w:rFonts w:eastAsia="Calibri" w:cs="Times New Roman"/>
                <w:b/>
                <w:sz w:val="24"/>
                <w:szCs w:val="24"/>
                <w:u w:val="single"/>
              </w:rPr>
            </w:pPr>
            <w:r>
              <w:rPr>
                <w:b/>
                <w:sz w:val="24"/>
                <w:szCs w:val="24"/>
                <w:u w:val="single"/>
              </w:rPr>
              <w:t>Daño en el Inmueble Comercial</w:t>
            </w:r>
          </w:p>
          <w:p w14:paraId="7CE4EA80" w14:textId="77777777" w:rsidR="00E54CE6" w:rsidRPr="00E532F9" w:rsidRDefault="0016202A">
            <w:pPr>
              <w:autoSpaceDE w:val="0"/>
              <w:autoSpaceDN w:val="0"/>
              <w:adjustRightInd w:val="0"/>
              <w:jc w:val="both"/>
              <w:rPr>
                <w:rFonts w:eastAsia="Calibri" w:cs="Times New Roman"/>
                <w:sz w:val="24"/>
                <w:szCs w:val="24"/>
              </w:rPr>
            </w:pPr>
            <w:r>
              <w:rPr>
                <w:sz w:val="24"/>
                <w:szCs w:val="24"/>
              </w:rPr>
              <w:t>Todos los negocios no agrícolas que pertenecían y tuvieron ingresos a partir de un inmueble en la Ciudad de Flint y donde dicho inmueble recibió el agua de Flint al o entre el 25 de abril de 2014 y el 31 de julio de 2016.</w:t>
            </w:r>
          </w:p>
          <w:p w14:paraId="750526F5" w14:textId="77777777" w:rsidR="00E54CE6" w:rsidRPr="00E532F9" w:rsidRDefault="00E54CE6">
            <w:pPr>
              <w:autoSpaceDE w:val="0"/>
              <w:autoSpaceDN w:val="0"/>
              <w:adjustRightInd w:val="0"/>
              <w:jc w:val="both"/>
              <w:rPr>
                <w:rFonts w:eastAsia="Calibri" w:cs="Times New Roman"/>
                <w:sz w:val="24"/>
                <w:szCs w:val="24"/>
              </w:rPr>
            </w:pPr>
          </w:p>
        </w:tc>
        <w:tc>
          <w:tcPr>
            <w:tcW w:w="4317" w:type="dxa"/>
          </w:tcPr>
          <w:p w14:paraId="61B48BF3" w14:textId="77777777" w:rsidR="00E54CE6" w:rsidRPr="00E532F9" w:rsidRDefault="0016202A">
            <w:pPr>
              <w:jc w:val="center"/>
              <w:rPr>
                <w:rFonts w:eastAsia="Calibri" w:cs="Times New Roman"/>
                <w:b/>
                <w:color w:val="0070C0"/>
                <w:sz w:val="24"/>
                <w:szCs w:val="24"/>
              </w:rPr>
            </w:pPr>
            <w:r>
              <w:rPr>
                <w:b/>
                <w:color w:val="0D0D0D"/>
                <w:sz w:val="24"/>
                <w:szCs w:val="24"/>
                <w:u w:val="single"/>
              </w:rPr>
              <w:t>Prestaciones Pecuniarias</w:t>
            </w:r>
          </w:p>
          <w:p w14:paraId="6669C85C" w14:textId="77777777" w:rsidR="00E54CE6" w:rsidRPr="00E532F9" w:rsidRDefault="00E54CE6">
            <w:pPr>
              <w:jc w:val="center"/>
              <w:rPr>
                <w:rFonts w:eastAsia="Calibri" w:cs="Times New Roman"/>
                <w:b/>
                <w:color w:val="0070C0"/>
                <w:sz w:val="24"/>
                <w:szCs w:val="24"/>
              </w:rPr>
            </w:pPr>
          </w:p>
          <w:p w14:paraId="03385E86" w14:textId="77777777" w:rsidR="00E54CE6" w:rsidRPr="00E532F9" w:rsidRDefault="0016202A">
            <w:pPr>
              <w:jc w:val="center"/>
              <w:rPr>
                <w:rFonts w:eastAsia="Calibri" w:cs="Times New Roman"/>
                <w:b/>
                <w:color w:val="0070C0"/>
                <w:sz w:val="24"/>
                <w:szCs w:val="24"/>
              </w:rPr>
            </w:pPr>
            <w:r>
              <w:rPr>
                <w:b/>
                <w:color w:val="0070C0"/>
                <w:sz w:val="24"/>
                <w:szCs w:val="24"/>
              </w:rPr>
              <w:t>BX</w:t>
            </w:r>
          </w:p>
          <w:p w14:paraId="248ED9C7" w14:textId="77777777" w:rsidR="00E54CE6" w:rsidRPr="00E532F9" w:rsidRDefault="00E54CE6">
            <w:pPr>
              <w:rPr>
                <w:rFonts w:eastAsia="Calibri" w:cs="Times New Roman"/>
              </w:rPr>
            </w:pPr>
          </w:p>
          <w:p w14:paraId="17456963" w14:textId="77777777" w:rsidR="00E54CE6" w:rsidRPr="00E532F9" w:rsidRDefault="00E54CE6">
            <w:pPr>
              <w:jc w:val="both"/>
              <w:rPr>
                <w:rFonts w:eastAsia="Calibri" w:cs="Times New Roman"/>
                <w:b/>
                <w:color w:val="0070C0"/>
                <w:sz w:val="24"/>
                <w:szCs w:val="24"/>
              </w:rPr>
            </w:pPr>
          </w:p>
          <w:p w14:paraId="5CE8A705" w14:textId="77777777" w:rsidR="00E54CE6" w:rsidRPr="00E532F9" w:rsidRDefault="00E54CE6">
            <w:pPr>
              <w:rPr>
                <w:rFonts w:eastAsia="Calibri" w:cs="Times New Roman"/>
              </w:rPr>
            </w:pPr>
          </w:p>
          <w:p w14:paraId="645C6386" w14:textId="77777777" w:rsidR="00E54CE6" w:rsidRPr="00E532F9" w:rsidRDefault="00E54CE6">
            <w:pPr>
              <w:jc w:val="both"/>
              <w:rPr>
                <w:rFonts w:eastAsia="Calibri" w:cs="Times New Roman"/>
                <w:sz w:val="24"/>
                <w:szCs w:val="24"/>
              </w:rPr>
            </w:pPr>
          </w:p>
        </w:tc>
        <w:tc>
          <w:tcPr>
            <w:tcW w:w="4317" w:type="dxa"/>
          </w:tcPr>
          <w:p w14:paraId="4762FD6C" w14:textId="77777777" w:rsidR="00E54CE6" w:rsidRPr="00E532F9" w:rsidRDefault="0016202A">
            <w:pPr>
              <w:autoSpaceDE w:val="0"/>
              <w:autoSpaceDN w:val="0"/>
              <w:adjustRightInd w:val="0"/>
              <w:spacing w:after="120"/>
              <w:jc w:val="center"/>
              <w:rPr>
                <w:rFonts w:eastAsia="Calibri" w:cs="Times New Roman"/>
                <w:sz w:val="24"/>
                <w:szCs w:val="24"/>
                <w:u w:val="single"/>
              </w:rPr>
            </w:pPr>
            <w:r>
              <w:rPr>
                <w:b/>
                <w:color w:val="0D0D0D"/>
                <w:sz w:val="24"/>
                <w:szCs w:val="24"/>
                <w:u w:val="single"/>
              </w:rPr>
              <w:t>Pruebas Exigidas</w:t>
            </w:r>
          </w:p>
          <w:p w14:paraId="3BA0E7BC" w14:textId="77777777" w:rsidR="00E54CE6" w:rsidRPr="00E532F9" w:rsidRDefault="0016202A">
            <w:pPr>
              <w:autoSpaceDE w:val="0"/>
              <w:autoSpaceDN w:val="0"/>
              <w:adjustRightInd w:val="0"/>
              <w:spacing w:after="120"/>
              <w:jc w:val="both"/>
              <w:rPr>
                <w:rFonts w:eastAsia="Calibri" w:cs="Times New Roman"/>
                <w:sz w:val="24"/>
                <w:szCs w:val="24"/>
              </w:rPr>
            </w:pPr>
            <w:r>
              <w:rPr>
                <w:sz w:val="24"/>
                <w:szCs w:val="24"/>
                <w:u w:val="single"/>
              </w:rPr>
              <w:t>Prueba de Titularidad del Negocio e Inmueble</w:t>
            </w:r>
            <w:r>
              <w:rPr>
                <w:sz w:val="24"/>
                <w:szCs w:val="24"/>
              </w:rPr>
              <w:t>: Copia de cualquier documento que demuestre la titularidad del negocio y del inmueble en la Ciudad de Flint y que recibió el agua de Flint durante el período comprendido entre el 25 de abril de 2014 y el 31 de julio de 2016 incluidos, aunque no en forma limitada, una factura de agua, escritura, contrato de alojamiento, estado de cuenta de la hipoteca, declaración del impuesto a las ganancias o a los bienes, arrendamiento, inscripción impositiva, presentación ante el estado, acta constitutiva o cualquier documento que el Administrador de Reclamaciones considere suficiente.  Se deberán identificar todos los propietarios del negocio y otras partes interesadas en el inmueble en el formulario de Reclamación, de modo que el destinatario legal adecuado pueda recibir la prestación.</w:t>
            </w:r>
          </w:p>
          <w:p w14:paraId="26E6E66C" w14:textId="77777777" w:rsidR="00E54CE6" w:rsidRPr="00E532F9" w:rsidRDefault="0016202A">
            <w:pPr>
              <w:jc w:val="both"/>
              <w:rPr>
                <w:rFonts w:eastAsia="Calibri" w:cs="Times New Roman"/>
              </w:rPr>
            </w:pPr>
            <w:r>
              <w:rPr>
                <w:sz w:val="24"/>
                <w:szCs w:val="24"/>
                <w:u w:val="single"/>
              </w:rPr>
              <w:t>Prueba de Daños</w:t>
            </w:r>
            <w:r>
              <w:rPr>
                <w:sz w:val="24"/>
                <w:szCs w:val="24"/>
              </w:rPr>
              <w:t xml:space="preserve">: La prueba de daños se calculará considerando la pérdida de ganancias netas de un año a otro según se </w:t>
            </w:r>
            <w:r>
              <w:rPr>
                <w:sz w:val="24"/>
                <w:szCs w:val="24"/>
              </w:rPr>
              <w:lastRenderedPageBreak/>
              <w:t>evidencie en las declaraciones de impuestos.  Los Reclamantes deberán llenar un Formulario de Reclamación por Interrupción de las Actividades Comerciales que se presentará como anexo del Formulario de Reclamación.</w:t>
            </w:r>
          </w:p>
        </w:tc>
      </w:tr>
    </w:tbl>
    <w:p w14:paraId="5FF691FD" w14:textId="77777777" w:rsidR="00E54CE6" w:rsidRPr="00E532F9" w:rsidRDefault="00E54CE6">
      <w:pPr>
        <w:rPr>
          <w:rFonts w:eastAsia="Calibri" w:cs="Times New Roman"/>
        </w:rPr>
      </w:pPr>
    </w:p>
    <w:tbl>
      <w:tblPr>
        <w:tblStyle w:val="TableGrid1"/>
        <w:tblW w:w="0" w:type="auto"/>
        <w:tblLook w:val="04A0" w:firstRow="1" w:lastRow="0" w:firstColumn="1" w:lastColumn="0" w:noHBand="0" w:noVBand="1"/>
      </w:tblPr>
      <w:tblGrid>
        <w:gridCol w:w="4316"/>
        <w:gridCol w:w="4317"/>
        <w:gridCol w:w="4317"/>
      </w:tblGrid>
      <w:tr w:rsidR="00E54CE6" w:rsidRPr="00E532F9" w14:paraId="177FC1BB" w14:textId="77777777">
        <w:tc>
          <w:tcPr>
            <w:tcW w:w="12950" w:type="dxa"/>
            <w:gridSpan w:val="3"/>
            <w:shd w:val="clear" w:color="auto" w:fill="FFF2CC"/>
          </w:tcPr>
          <w:p w14:paraId="114B7C4B" w14:textId="77777777" w:rsidR="00E54CE6" w:rsidRPr="00E532F9" w:rsidRDefault="0016202A">
            <w:pPr>
              <w:rPr>
                <w:rFonts w:eastAsia="Calibri" w:cs="Times New Roman"/>
                <w:b/>
                <w:bCs/>
                <w:sz w:val="24"/>
                <w:szCs w:val="24"/>
                <w:u w:val="single"/>
              </w:rPr>
            </w:pPr>
            <w:r>
              <w:rPr>
                <w:b/>
                <w:bCs/>
                <w:sz w:val="24"/>
                <w:szCs w:val="24"/>
                <w:u w:val="single"/>
              </w:rPr>
              <w:t>Explicación de las Prestaciones Pecuniarias de la Categoría de Pérdida Económica Comercial</w:t>
            </w:r>
          </w:p>
          <w:p w14:paraId="17EC0A83" w14:textId="77777777" w:rsidR="00E54CE6" w:rsidRPr="00E532F9" w:rsidRDefault="00E54CE6">
            <w:pPr>
              <w:rPr>
                <w:rFonts w:eastAsia="Calibri" w:cs="Times New Roman"/>
                <w:b/>
                <w:bCs/>
                <w:sz w:val="24"/>
                <w:szCs w:val="24"/>
                <w:u w:val="single"/>
              </w:rPr>
            </w:pPr>
          </w:p>
          <w:p w14:paraId="555BFF15" w14:textId="77777777" w:rsidR="00E54CE6" w:rsidRPr="00E532F9" w:rsidRDefault="0016202A">
            <w:pPr>
              <w:numPr>
                <w:ilvl w:val="0"/>
                <w:numId w:val="8"/>
              </w:numPr>
              <w:spacing w:after="240"/>
              <w:jc w:val="both"/>
              <w:rPr>
                <w:rFonts w:eastAsia="Calibri" w:cs="Times New Roman"/>
                <w:sz w:val="24"/>
                <w:szCs w:val="24"/>
              </w:rPr>
            </w:pPr>
            <w:r>
              <w:rPr>
                <w:sz w:val="24"/>
                <w:szCs w:val="24"/>
              </w:rPr>
              <w:t>Únicamente una prestación por negocio. Ningún resarcimiento será superior a $5,000 por negocio.</w:t>
            </w:r>
          </w:p>
          <w:p w14:paraId="4555AB02" w14:textId="77777777" w:rsidR="00E54CE6" w:rsidRPr="00E532F9" w:rsidRDefault="0016202A">
            <w:pPr>
              <w:numPr>
                <w:ilvl w:val="0"/>
                <w:numId w:val="8"/>
              </w:numPr>
              <w:spacing w:after="240"/>
              <w:jc w:val="both"/>
              <w:rPr>
                <w:rFonts w:eastAsia="Calibri" w:cs="Times New Roman"/>
                <w:sz w:val="24"/>
                <w:szCs w:val="24"/>
              </w:rPr>
            </w:pPr>
            <w:r>
              <w:rPr>
                <w:sz w:val="24"/>
                <w:szCs w:val="24"/>
              </w:rPr>
              <w:t>Los montos de la Prestación Pecuniaria para las Categorías de Daño en el Inmueble Comercial y Pérdida Económica Comercial se indican como “BX”.</w:t>
            </w:r>
          </w:p>
          <w:p w14:paraId="028E5887" w14:textId="77777777" w:rsidR="00E54CE6" w:rsidRPr="00E532F9" w:rsidRDefault="0016202A">
            <w:pPr>
              <w:numPr>
                <w:ilvl w:val="0"/>
                <w:numId w:val="8"/>
              </w:numPr>
              <w:spacing w:after="240"/>
              <w:jc w:val="both"/>
              <w:rPr>
                <w:rFonts w:eastAsia="Calibri" w:cs="Times New Roman"/>
                <w:sz w:val="24"/>
                <w:szCs w:val="24"/>
              </w:rPr>
            </w:pPr>
            <w:r>
              <w:rPr>
                <w:sz w:val="24"/>
                <w:szCs w:val="24"/>
              </w:rPr>
              <w:t>Se asignará 0.5% del Fondo de Indemnización Calificado de los Casos del Agua de Flint al total combinado de las dos Categorías BX, tal como se describe en la nota al pie 1.</w:t>
            </w:r>
          </w:p>
          <w:p w14:paraId="29E6DCA1" w14:textId="77777777" w:rsidR="00E54CE6" w:rsidRPr="00E532F9" w:rsidRDefault="0016202A">
            <w:pPr>
              <w:numPr>
                <w:ilvl w:val="0"/>
                <w:numId w:val="8"/>
              </w:numPr>
              <w:spacing w:after="240"/>
              <w:jc w:val="both"/>
              <w:rPr>
                <w:rFonts w:eastAsia="Calibri" w:cs="Times New Roman"/>
                <w:sz w:val="24"/>
                <w:szCs w:val="24"/>
              </w:rPr>
            </w:pPr>
            <w:r>
              <w:rPr>
                <w:sz w:val="24"/>
                <w:szCs w:val="24"/>
              </w:rPr>
              <w:t xml:space="preserve">El Administrador de Reclamaciones determinará el monto real de “BX” en dólares después de procesar todas las Reclamaciones (a excepción de las Reclamaciones Futuras del Fondo de Indemnización </w:t>
            </w:r>
            <w:proofErr w:type="spellStart"/>
            <w:r>
              <w:rPr>
                <w:sz w:val="24"/>
                <w:szCs w:val="24"/>
              </w:rPr>
              <w:t>Subcalificado</w:t>
            </w:r>
            <w:proofErr w:type="spellEnd"/>
            <w:r>
              <w:rPr>
                <w:sz w:val="24"/>
                <w:szCs w:val="24"/>
              </w:rPr>
              <w:t xml:space="preserve"> para Menores de Edad) y según la presentación de la prueba de daños en el inmueble por parte de cada Reclamante, dado que “BX” también puede depender en parte del número de Reclamantes que reciben las Prestaciones Pecuniarias en las Categorías BX, sujeto al límite que establece que ningún resarcimiento en las Categorías BX será superior a $5,000 por negocio, o parcela de bienes inmuebles, según corresponda.</w:t>
            </w:r>
          </w:p>
          <w:p w14:paraId="18AADF10" w14:textId="77777777" w:rsidR="00E54CE6" w:rsidRPr="00E532F9" w:rsidRDefault="0016202A">
            <w:pPr>
              <w:numPr>
                <w:ilvl w:val="0"/>
                <w:numId w:val="8"/>
              </w:numPr>
              <w:spacing w:after="240"/>
              <w:jc w:val="both"/>
              <w:rPr>
                <w:rFonts w:eastAsia="Calibri" w:cs="Times New Roman"/>
                <w:sz w:val="24"/>
                <w:szCs w:val="24"/>
              </w:rPr>
            </w:pPr>
            <w:r>
              <w:rPr>
                <w:sz w:val="24"/>
                <w:szCs w:val="24"/>
              </w:rPr>
              <w:t>Si el monto total de las reclamaciones válidas de las Categorías BX excede el 0.5% asignado del Fondo de Indemnización Calificado de los Casos del Agua de Flint, tal como se describe en la nota al pie 1, entonces, el pago de las Categorías BX se prorrateará considerando dicha asignación de 0.5%.  Sin embargo, en ese caso, si el pago promedio de las Categorías BX es inferior a $100 por Reclamante, entonces, el Administrador de Reclamaciones no pagará ninguna Prestación Pecuniaria inferior a $100 en tales Categorías BX y ningún Reclamante tendrá derecho a una prestación inferior a $100.  Cualquier Prestación Pecuniaria de las Categorías BX que resulte inferior a $100 se considerará de valor cero.  El Administrador de Reclamaciones calculará, entonces, las Prestaciones Pecuniarias de las Categorías BX sin considerar ninguna de tales prestaciones de valor cero.</w:t>
            </w:r>
          </w:p>
          <w:p w14:paraId="6E3C39BC" w14:textId="77777777" w:rsidR="00E54CE6" w:rsidRPr="00E532F9" w:rsidRDefault="0016202A">
            <w:pPr>
              <w:numPr>
                <w:ilvl w:val="0"/>
                <w:numId w:val="8"/>
              </w:numPr>
              <w:spacing w:after="240"/>
              <w:jc w:val="both"/>
              <w:rPr>
                <w:rFonts w:eastAsia="Calibri" w:cs="Times New Roman"/>
              </w:rPr>
            </w:pPr>
            <w:r>
              <w:rPr>
                <w:sz w:val="24"/>
                <w:szCs w:val="24"/>
              </w:rPr>
              <w:lastRenderedPageBreak/>
              <w:t>Si bien se pueden estimar los montos de la Prestación Pecuniaria sobre la base de “BX” antes de que el Administrador de Reclamaciones procese efectivamente todas las Reclamaciones, serán solo estimaciones que están sujetas a un número de variables que no se pueden determinar hasta que se procesen todas las Reclamaciones. Por lo tanto, las Prestaciones Pecuniarias reales podrían variar significativamente de las estimaciones previas de tales prestaciones.</w:t>
            </w:r>
          </w:p>
        </w:tc>
      </w:tr>
      <w:tr w:rsidR="00E54CE6" w:rsidRPr="00E532F9" w14:paraId="6A9BBF8A" w14:textId="77777777">
        <w:tc>
          <w:tcPr>
            <w:tcW w:w="12950" w:type="dxa"/>
            <w:gridSpan w:val="3"/>
            <w:shd w:val="clear" w:color="auto" w:fill="B4C6E7"/>
          </w:tcPr>
          <w:p w14:paraId="1B37F415" w14:textId="77777777" w:rsidR="00E54CE6" w:rsidRPr="00E532F9" w:rsidRDefault="00E54CE6">
            <w:pPr>
              <w:jc w:val="center"/>
              <w:rPr>
                <w:rFonts w:eastAsia="Calibri" w:cs="Times New Roman"/>
                <w:b/>
                <w:sz w:val="24"/>
                <w:szCs w:val="24"/>
                <w:u w:val="single"/>
              </w:rPr>
            </w:pPr>
          </w:p>
          <w:p w14:paraId="4C9B989A" w14:textId="77777777" w:rsidR="00E54CE6" w:rsidRPr="00E532F9" w:rsidRDefault="0016202A">
            <w:pPr>
              <w:jc w:val="center"/>
              <w:rPr>
                <w:rFonts w:eastAsia="Calibri" w:cs="Times New Roman"/>
                <w:b/>
                <w:caps/>
                <w:sz w:val="24"/>
                <w:szCs w:val="24"/>
                <w:u w:val="single"/>
              </w:rPr>
            </w:pPr>
            <w:r>
              <w:rPr>
                <w:b/>
                <w:caps/>
                <w:sz w:val="24"/>
                <w:szCs w:val="24"/>
                <w:u w:val="single"/>
              </w:rPr>
              <w:t>Categoría 30</w:t>
            </w:r>
          </w:p>
          <w:p w14:paraId="083A3706" w14:textId="77777777" w:rsidR="00E54CE6" w:rsidRPr="00E532F9" w:rsidRDefault="0016202A">
            <w:pPr>
              <w:autoSpaceDE w:val="0"/>
              <w:autoSpaceDN w:val="0"/>
              <w:adjustRightInd w:val="0"/>
              <w:contextualSpacing/>
              <w:jc w:val="center"/>
              <w:rPr>
                <w:rFonts w:eastAsia="Calibri" w:cs="Times New Roman"/>
                <w:b/>
                <w:sz w:val="24"/>
                <w:szCs w:val="24"/>
                <w:u w:val="single"/>
              </w:rPr>
            </w:pPr>
            <w:r>
              <w:rPr>
                <w:sz w:val="24"/>
                <w:szCs w:val="24"/>
                <w:u w:val="single"/>
              </w:rPr>
              <w:t>Pérdida Económica Comercial</w:t>
            </w:r>
            <w:r>
              <w:rPr>
                <w:b/>
                <w:sz w:val="24"/>
                <w:szCs w:val="24"/>
                <w:u w:val="single"/>
              </w:rPr>
              <w:t xml:space="preserve">  </w:t>
            </w:r>
          </w:p>
          <w:p w14:paraId="3C5D83F2" w14:textId="77777777" w:rsidR="00E54CE6" w:rsidRPr="00E532F9" w:rsidRDefault="00E54CE6">
            <w:pPr>
              <w:autoSpaceDE w:val="0"/>
              <w:autoSpaceDN w:val="0"/>
              <w:adjustRightInd w:val="0"/>
              <w:contextualSpacing/>
              <w:jc w:val="center"/>
              <w:rPr>
                <w:rFonts w:eastAsia="Calibri" w:cs="Times New Roman"/>
                <w:b/>
                <w:sz w:val="24"/>
                <w:szCs w:val="24"/>
                <w:u w:val="single"/>
              </w:rPr>
            </w:pPr>
          </w:p>
        </w:tc>
      </w:tr>
      <w:tr w:rsidR="00E54CE6" w:rsidRPr="00E532F9" w14:paraId="30E1BD04" w14:textId="77777777">
        <w:tc>
          <w:tcPr>
            <w:tcW w:w="4316" w:type="dxa"/>
          </w:tcPr>
          <w:p w14:paraId="74100F29" w14:textId="77777777" w:rsidR="00E54CE6" w:rsidRPr="00E532F9" w:rsidRDefault="0016202A">
            <w:pPr>
              <w:autoSpaceDE w:val="0"/>
              <w:autoSpaceDN w:val="0"/>
              <w:adjustRightInd w:val="0"/>
              <w:jc w:val="center"/>
              <w:rPr>
                <w:rFonts w:eastAsia="Calibri" w:cs="Times New Roman"/>
                <w:b/>
                <w:bCs/>
                <w:sz w:val="24"/>
                <w:szCs w:val="24"/>
                <w:u w:val="single"/>
              </w:rPr>
            </w:pPr>
            <w:r>
              <w:rPr>
                <w:b/>
                <w:bCs/>
                <w:sz w:val="24"/>
                <w:szCs w:val="24"/>
                <w:u w:val="single"/>
              </w:rPr>
              <w:t>Descripción de la Categoría</w:t>
            </w:r>
          </w:p>
          <w:p w14:paraId="272285AB" w14:textId="77777777" w:rsidR="00E54CE6" w:rsidRPr="00E532F9" w:rsidRDefault="00E54CE6">
            <w:pPr>
              <w:autoSpaceDE w:val="0"/>
              <w:autoSpaceDN w:val="0"/>
              <w:adjustRightInd w:val="0"/>
              <w:jc w:val="both"/>
              <w:rPr>
                <w:rFonts w:eastAsia="Calibri" w:cs="Times New Roman"/>
                <w:sz w:val="24"/>
                <w:szCs w:val="24"/>
              </w:rPr>
            </w:pPr>
          </w:p>
          <w:p w14:paraId="726EA8A4" w14:textId="77777777" w:rsidR="00E54CE6" w:rsidRPr="00E532F9" w:rsidRDefault="0016202A">
            <w:pPr>
              <w:autoSpaceDE w:val="0"/>
              <w:autoSpaceDN w:val="0"/>
              <w:adjustRightInd w:val="0"/>
              <w:jc w:val="both"/>
              <w:rPr>
                <w:rFonts w:eastAsia="Calibri" w:cs="Times New Roman"/>
                <w:b/>
                <w:sz w:val="24"/>
                <w:szCs w:val="24"/>
                <w:u w:val="single"/>
              </w:rPr>
            </w:pPr>
            <w:r>
              <w:rPr>
                <w:b/>
                <w:sz w:val="24"/>
                <w:szCs w:val="24"/>
                <w:u w:val="single"/>
              </w:rPr>
              <w:t>Pérdida Económica Comercial</w:t>
            </w:r>
          </w:p>
          <w:p w14:paraId="1A488C46" w14:textId="77777777" w:rsidR="00E54CE6" w:rsidRPr="00E532F9" w:rsidRDefault="0016202A">
            <w:pPr>
              <w:autoSpaceDE w:val="0"/>
              <w:autoSpaceDN w:val="0"/>
              <w:adjustRightInd w:val="0"/>
              <w:jc w:val="both"/>
              <w:rPr>
                <w:rFonts w:eastAsia="Calibri" w:cs="Times New Roman"/>
                <w:sz w:val="24"/>
                <w:szCs w:val="24"/>
              </w:rPr>
            </w:pPr>
            <w:r>
              <w:rPr>
                <w:sz w:val="24"/>
                <w:szCs w:val="24"/>
              </w:rPr>
              <w:t>Todos los negocios no agrícolas y no vinculados con un inmueble que operaban en la Ciudad de Flint y recibieron el agua de Flint al o entre el 25 de abril de 2014 y el 31 de julio de 2016.</w:t>
            </w:r>
          </w:p>
          <w:p w14:paraId="6C3A1419" w14:textId="77777777" w:rsidR="00E54CE6" w:rsidRPr="00E532F9" w:rsidRDefault="00E54CE6">
            <w:pPr>
              <w:rPr>
                <w:rFonts w:eastAsia="Calibri" w:cs="Times New Roman"/>
              </w:rPr>
            </w:pPr>
          </w:p>
        </w:tc>
        <w:tc>
          <w:tcPr>
            <w:tcW w:w="4317" w:type="dxa"/>
          </w:tcPr>
          <w:p w14:paraId="0B21E58B" w14:textId="77777777" w:rsidR="00E54CE6" w:rsidRPr="00E532F9" w:rsidRDefault="0016202A">
            <w:pPr>
              <w:jc w:val="center"/>
              <w:rPr>
                <w:rFonts w:eastAsia="Calibri" w:cs="Times New Roman"/>
                <w:b/>
                <w:color w:val="0070C0"/>
                <w:sz w:val="24"/>
                <w:szCs w:val="24"/>
              </w:rPr>
            </w:pPr>
            <w:r>
              <w:rPr>
                <w:b/>
                <w:color w:val="0D0D0D"/>
                <w:sz w:val="24"/>
                <w:szCs w:val="24"/>
                <w:u w:val="single"/>
              </w:rPr>
              <w:t>Prestaciones Pecuniarias</w:t>
            </w:r>
          </w:p>
          <w:p w14:paraId="2E6FACAF" w14:textId="77777777" w:rsidR="00E54CE6" w:rsidRPr="00E532F9" w:rsidRDefault="00E54CE6">
            <w:pPr>
              <w:jc w:val="center"/>
              <w:rPr>
                <w:rFonts w:eastAsia="Calibri" w:cs="Times New Roman"/>
                <w:b/>
                <w:color w:val="0070C0"/>
                <w:sz w:val="24"/>
                <w:szCs w:val="24"/>
              </w:rPr>
            </w:pPr>
          </w:p>
          <w:p w14:paraId="0D408F57" w14:textId="77777777" w:rsidR="00E54CE6" w:rsidRPr="00E532F9" w:rsidRDefault="0016202A">
            <w:pPr>
              <w:jc w:val="center"/>
              <w:rPr>
                <w:rFonts w:eastAsia="Calibri" w:cs="Times New Roman"/>
                <w:b/>
                <w:color w:val="0070C0"/>
                <w:sz w:val="24"/>
                <w:szCs w:val="24"/>
              </w:rPr>
            </w:pPr>
            <w:r>
              <w:rPr>
                <w:b/>
                <w:color w:val="0070C0"/>
                <w:sz w:val="24"/>
                <w:szCs w:val="24"/>
              </w:rPr>
              <w:t>BX</w:t>
            </w:r>
          </w:p>
          <w:p w14:paraId="00C7C750" w14:textId="77777777" w:rsidR="00E54CE6" w:rsidRPr="00E532F9" w:rsidRDefault="00E54CE6">
            <w:pPr>
              <w:rPr>
                <w:rFonts w:eastAsia="Calibri" w:cs="Times New Roman"/>
                <w:b/>
                <w:color w:val="0070C0"/>
                <w:sz w:val="24"/>
                <w:szCs w:val="24"/>
              </w:rPr>
            </w:pPr>
          </w:p>
          <w:p w14:paraId="0B35FF37" w14:textId="77777777" w:rsidR="00E54CE6" w:rsidRPr="00E532F9" w:rsidRDefault="00E54CE6">
            <w:pPr>
              <w:jc w:val="both"/>
              <w:rPr>
                <w:rFonts w:eastAsia="Calibri" w:cs="Times New Roman"/>
                <w:b/>
                <w:color w:val="0070C0"/>
                <w:sz w:val="24"/>
                <w:szCs w:val="24"/>
              </w:rPr>
            </w:pPr>
          </w:p>
          <w:p w14:paraId="318C8878" w14:textId="77777777" w:rsidR="00E54CE6" w:rsidRPr="00E532F9" w:rsidRDefault="00E54CE6">
            <w:pPr>
              <w:jc w:val="both"/>
              <w:rPr>
                <w:rFonts w:eastAsia="Calibri" w:cs="Times New Roman"/>
              </w:rPr>
            </w:pPr>
          </w:p>
          <w:p w14:paraId="775C3E5E" w14:textId="77777777" w:rsidR="00E54CE6" w:rsidRPr="00E532F9" w:rsidRDefault="00E54CE6">
            <w:pPr>
              <w:jc w:val="both"/>
              <w:rPr>
                <w:rFonts w:eastAsia="Calibri" w:cs="Times New Roman"/>
                <w:b/>
                <w:color w:val="0070C0"/>
                <w:sz w:val="24"/>
                <w:szCs w:val="24"/>
              </w:rPr>
            </w:pPr>
          </w:p>
        </w:tc>
        <w:tc>
          <w:tcPr>
            <w:tcW w:w="4317" w:type="dxa"/>
          </w:tcPr>
          <w:p w14:paraId="28D18B62" w14:textId="77777777" w:rsidR="00E54CE6" w:rsidRPr="00E532F9" w:rsidRDefault="0016202A">
            <w:pPr>
              <w:autoSpaceDE w:val="0"/>
              <w:autoSpaceDN w:val="0"/>
              <w:adjustRightInd w:val="0"/>
              <w:spacing w:after="120"/>
              <w:jc w:val="center"/>
              <w:rPr>
                <w:rFonts w:eastAsia="Calibri" w:cs="Times New Roman"/>
                <w:sz w:val="24"/>
                <w:szCs w:val="24"/>
                <w:u w:val="single"/>
              </w:rPr>
            </w:pPr>
            <w:r>
              <w:rPr>
                <w:b/>
                <w:color w:val="0D0D0D"/>
                <w:sz w:val="24"/>
                <w:szCs w:val="24"/>
                <w:u w:val="single"/>
              </w:rPr>
              <w:t>Pruebas Exigidas</w:t>
            </w:r>
          </w:p>
          <w:p w14:paraId="09DCE7C7" w14:textId="77777777" w:rsidR="00E54CE6" w:rsidRPr="00E532F9" w:rsidRDefault="00E54CE6">
            <w:pPr>
              <w:autoSpaceDE w:val="0"/>
              <w:autoSpaceDN w:val="0"/>
              <w:adjustRightInd w:val="0"/>
              <w:spacing w:after="120"/>
              <w:jc w:val="both"/>
              <w:rPr>
                <w:rFonts w:eastAsia="Calibri" w:cs="Times New Roman"/>
                <w:sz w:val="24"/>
                <w:szCs w:val="24"/>
                <w:u w:val="single"/>
              </w:rPr>
            </w:pPr>
          </w:p>
          <w:p w14:paraId="7AB4611B" w14:textId="77777777" w:rsidR="00E54CE6" w:rsidRPr="00E532F9" w:rsidRDefault="0016202A">
            <w:pPr>
              <w:autoSpaceDE w:val="0"/>
              <w:autoSpaceDN w:val="0"/>
              <w:adjustRightInd w:val="0"/>
              <w:spacing w:after="120"/>
              <w:jc w:val="both"/>
              <w:rPr>
                <w:rFonts w:eastAsia="Calibri" w:cs="Times New Roman"/>
                <w:sz w:val="24"/>
                <w:szCs w:val="24"/>
              </w:rPr>
            </w:pPr>
            <w:r>
              <w:rPr>
                <w:sz w:val="24"/>
                <w:szCs w:val="24"/>
                <w:u w:val="single"/>
              </w:rPr>
              <w:t>Prueba de Titularidad del Negocio</w:t>
            </w:r>
            <w:r>
              <w:rPr>
                <w:sz w:val="24"/>
                <w:szCs w:val="24"/>
              </w:rPr>
              <w:t xml:space="preserve">: Copia de cualquier documento que demuestre la constitución del negocio u organización y la titularidad del negocio que operaba en la Ciudad de Flint y que recibió el agua de Flint durante el período comprendido entre el 25 de abril de 2014 y el 31 de julio de 2016 incluidos, aunque no en forma limitada, una factura de agua, declaración del impuesto a las ganancias o a los bienes, inscripción impositiva, presentación ante el estado, acta constitutiva o cualquier documento que el Administrador de Reclamaciones considere suficiente. Se deberán identificar todos los propietarios del negocio y otras partes interesadas en el negocio en el formulario de Reclamación, de modo que el destinatario legal adecuado pueda recibir la prestación. </w:t>
            </w:r>
          </w:p>
          <w:p w14:paraId="74FE4244" w14:textId="77777777" w:rsidR="00E54CE6" w:rsidRPr="00E532F9" w:rsidRDefault="00E54CE6">
            <w:pPr>
              <w:autoSpaceDE w:val="0"/>
              <w:autoSpaceDN w:val="0"/>
              <w:adjustRightInd w:val="0"/>
              <w:spacing w:after="120"/>
              <w:jc w:val="both"/>
              <w:rPr>
                <w:rFonts w:eastAsia="Calibri" w:cs="Times New Roman"/>
                <w:sz w:val="24"/>
                <w:szCs w:val="24"/>
              </w:rPr>
            </w:pPr>
          </w:p>
          <w:p w14:paraId="5941157A" w14:textId="77777777" w:rsidR="00E54CE6" w:rsidRPr="00E532F9" w:rsidRDefault="0016202A">
            <w:pPr>
              <w:jc w:val="both"/>
              <w:rPr>
                <w:rFonts w:eastAsia="Calibri" w:cs="Times New Roman"/>
              </w:rPr>
            </w:pPr>
            <w:r>
              <w:rPr>
                <w:sz w:val="24"/>
                <w:szCs w:val="24"/>
                <w:u w:val="single"/>
              </w:rPr>
              <w:lastRenderedPageBreak/>
              <w:t>Prueba de Daños</w:t>
            </w:r>
            <w:r>
              <w:rPr>
                <w:sz w:val="24"/>
                <w:szCs w:val="24"/>
              </w:rPr>
              <w:t>: La prueba de daños se calculará considerando la pérdida de ganancias netas de un año a otro según se evidencie en las declaraciones de impuestos.  Los Reclamantes deberán llenar un Formulario de Reclamación por Interrupción de las Actividades Comerciales que se presentará como anexo del Formulario de Reclamación.</w:t>
            </w:r>
          </w:p>
        </w:tc>
      </w:tr>
    </w:tbl>
    <w:p w14:paraId="5F1D182B" w14:textId="77777777" w:rsidR="00E54CE6" w:rsidRDefault="0016202A">
      <w:pPr>
        <w:rPr>
          <w:rFonts w:eastAsia="Calibri" w:cs="Times New Roman"/>
          <w:sz w:val="16"/>
          <w:szCs w:val="16"/>
        </w:rPr>
      </w:pPr>
      <w:r>
        <w:rPr>
          <w:sz w:val="16"/>
          <w:szCs w:val="16"/>
        </w:rPr>
        <w:lastRenderedPageBreak/>
        <w:t>486240</w:t>
      </w:r>
    </w:p>
    <w:p w14:paraId="7A352207" w14:textId="77777777" w:rsidR="00E54CE6" w:rsidRDefault="00E54CE6"/>
    <w:p w14:paraId="636762C6" w14:textId="77777777" w:rsidR="00E54CE6" w:rsidRDefault="00E54CE6"/>
    <w:sectPr w:rsidR="00E54CE6">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CE932" w14:textId="77777777" w:rsidR="00E877B5" w:rsidRDefault="00E877B5">
      <w:pPr>
        <w:spacing w:after="0" w:line="240" w:lineRule="auto"/>
      </w:pPr>
      <w:r>
        <w:separator/>
      </w:r>
    </w:p>
  </w:endnote>
  <w:endnote w:type="continuationSeparator" w:id="0">
    <w:p w14:paraId="00998F14" w14:textId="77777777" w:rsidR="00E877B5" w:rsidRDefault="00E87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6E6F3" w14:textId="77777777" w:rsidR="00A41A10" w:rsidRDefault="00A41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865231"/>
      <w:docPartObj>
        <w:docPartGallery w:val="Page Numbers (Bottom of Page)"/>
        <w:docPartUnique/>
      </w:docPartObj>
    </w:sdtPr>
    <w:sdtEndPr>
      <w:rPr>
        <w:noProof/>
      </w:rPr>
    </w:sdtEndPr>
    <w:sdtContent>
      <w:p w14:paraId="3685688D" w14:textId="77777777" w:rsidR="00E54CE6" w:rsidRDefault="0016202A">
        <w:pPr>
          <w:pStyle w:val="Footer1"/>
          <w:jc w:val="center"/>
        </w:pPr>
        <w:r>
          <w:fldChar w:fldCharType="begin"/>
        </w:r>
        <w:r>
          <w:instrText xml:space="preserve"> PAGE   \* MERGEFORMAT </w:instrText>
        </w:r>
        <w:r>
          <w:fldChar w:fldCharType="separate"/>
        </w:r>
        <w:r>
          <w:t>44</w:t>
        </w:r>
        <w:r>
          <w:fldChar w:fldCharType="end"/>
        </w:r>
      </w:p>
    </w:sdtContent>
  </w:sdt>
  <w:p w14:paraId="3708AFA8" w14:textId="23F84F2A" w:rsidR="00E54CE6" w:rsidRDefault="00A41A10">
    <w:pPr>
      <w:pStyle w:val="Footer1"/>
    </w:pPr>
    <w:proofErr w:type="spellStart"/>
    <w:r w:rsidRPr="00A41A10">
      <w:rPr>
        <w:sz w:val="16"/>
        <w:szCs w:val="16"/>
      </w:rPr>
      <w:t>Settlement</w:t>
    </w:r>
    <w:proofErr w:type="spellEnd"/>
    <w:r w:rsidRPr="00A41A10">
      <w:rPr>
        <w:sz w:val="16"/>
        <w:szCs w:val="16"/>
      </w:rPr>
      <w:t xml:space="preserve"> </w:t>
    </w:r>
    <w:proofErr w:type="spellStart"/>
    <w:r w:rsidRPr="00A41A10">
      <w:rPr>
        <w:sz w:val="16"/>
        <w:szCs w:val="16"/>
      </w:rPr>
      <w:t>Grid</w:t>
    </w:r>
    <w:proofErr w:type="spellEnd"/>
    <w:r>
      <w:tab/>
    </w:r>
    <w:r>
      <w:tab/>
    </w:r>
    <w:r>
      <w:tab/>
    </w:r>
    <w:r>
      <w:rPr>
        <w:sz w:val="16"/>
        <w:szCs w:val="16"/>
      </w:rPr>
      <w:t>Expert Language Services, Inc.    2021-06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4AE7" w14:textId="77777777" w:rsidR="00A41A10" w:rsidRDefault="00A41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E25B1" w14:textId="77777777" w:rsidR="00E877B5" w:rsidRDefault="00E877B5">
      <w:pPr>
        <w:spacing w:after="0" w:line="240" w:lineRule="auto"/>
      </w:pPr>
      <w:r>
        <w:separator/>
      </w:r>
    </w:p>
  </w:footnote>
  <w:footnote w:type="continuationSeparator" w:id="0">
    <w:p w14:paraId="63D928EC" w14:textId="77777777" w:rsidR="00E877B5" w:rsidRDefault="00E877B5">
      <w:pPr>
        <w:spacing w:after="0" w:line="240" w:lineRule="auto"/>
      </w:pPr>
      <w:r>
        <w:continuationSeparator/>
      </w:r>
    </w:p>
  </w:footnote>
  <w:footnote w:id="1">
    <w:p w14:paraId="71B86665" w14:textId="77777777" w:rsidR="00E54CE6" w:rsidRDefault="0016202A">
      <w:pPr>
        <w:jc w:val="both"/>
        <w:rPr>
          <w:sz w:val="20"/>
          <w:szCs w:val="20"/>
        </w:rPr>
      </w:pPr>
      <w:r>
        <w:rPr>
          <w:rStyle w:val="FootnoteReference"/>
        </w:rPr>
        <w:footnoteRef/>
      </w:r>
      <w:r>
        <w:rPr>
          <w:sz w:val="20"/>
          <w:szCs w:val="20"/>
        </w:rPr>
        <w:t xml:space="preserve"> </w:t>
      </w:r>
      <w:r>
        <w:rPr>
          <w:b/>
          <w:sz w:val="20"/>
          <w:szCs w:val="20"/>
          <w:u w:val="single"/>
        </w:rPr>
        <w:t>Las Asignaciones del Fondo de Indemnización Calificado de los Casos del Agua de Flint, sujetas a los términos del Acuerdo de Indemnización, se incluyen en la tabla a continuación</w:t>
      </w:r>
      <w:r>
        <w:rPr>
          <w:sz w:val="20"/>
          <w:szCs w:val="20"/>
        </w:rPr>
        <w:t xml:space="preserve">.  Los fondos del Fondo de Indemnización </w:t>
      </w:r>
      <w:proofErr w:type="spellStart"/>
      <w:r>
        <w:rPr>
          <w:sz w:val="20"/>
          <w:szCs w:val="20"/>
        </w:rPr>
        <w:t>Subcalificado</w:t>
      </w:r>
      <w:proofErr w:type="spellEnd"/>
      <w:r>
        <w:rPr>
          <w:sz w:val="20"/>
          <w:szCs w:val="20"/>
        </w:rPr>
        <w:t xml:space="preserve"> para Daños en Inmuebles y Daños sufridos por Personas Mayores de Edad, el Fondo de Indemnización </w:t>
      </w:r>
      <w:proofErr w:type="spellStart"/>
      <w:r>
        <w:rPr>
          <w:sz w:val="20"/>
          <w:szCs w:val="20"/>
        </w:rPr>
        <w:t>Subcalificado</w:t>
      </w:r>
      <w:proofErr w:type="spellEnd"/>
      <w:r>
        <w:rPr>
          <w:sz w:val="20"/>
          <w:szCs w:val="20"/>
        </w:rPr>
        <w:t xml:space="preserve"> para Pérdidas Económicas Comerciales y el Fondo de Indemnización </w:t>
      </w:r>
      <w:proofErr w:type="spellStart"/>
      <w:r>
        <w:rPr>
          <w:sz w:val="20"/>
          <w:szCs w:val="20"/>
        </w:rPr>
        <w:t>Subcalificado</w:t>
      </w:r>
      <w:proofErr w:type="spellEnd"/>
      <w:r>
        <w:rPr>
          <w:sz w:val="20"/>
          <w:szCs w:val="20"/>
        </w:rPr>
        <w:t xml:space="preserve"> de Alivio Programático que no se utilicen se revertirán a los Fondos de Indemnización </w:t>
      </w:r>
      <w:proofErr w:type="spellStart"/>
      <w:r>
        <w:rPr>
          <w:sz w:val="20"/>
          <w:szCs w:val="20"/>
        </w:rPr>
        <w:t>Subcalificados</w:t>
      </w:r>
      <w:proofErr w:type="spellEnd"/>
      <w:r>
        <w:rPr>
          <w:sz w:val="20"/>
          <w:szCs w:val="20"/>
        </w:rPr>
        <w:t xml:space="preserve"> para Niños, Preadolescentes y Adolescentes y Futuras Reclamaciones del Fondo de Indemnización </w:t>
      </w:r>
      <w:proofErr w:type="spellStart"/>
      <w:r>
        <w:rPr>
          <w:sz w:val="20"/>
          <w:szCs w:val="20"/>
        </w:rPr>
        <w:t>Subcalificado</w:t>
      </w:r>
      <w:proofErr w:type="spellEnd"/>
      <w:r>
        <w:rPr>
          <w:sz w:val="20"/>
          <w:szCs w:val="20"/>
        </w:rPr>
        <w:t xml:space="preserve"> para Menores de Edad.  </w:t>
      </w:r>
      <w:r>
        <w:rPr>
          <w:sz w:val="20"/>
          <w:szCs w:val="20"/>
          <w:u w:val="single"/>
        </w:rPr>
        <w:t>Si un Reclamante cumple con los requisitos de más de una Categoría de lesión personal, se abonará únicamente la Prestación Pecuniaria más alta de la Categoría de lesiones personales.</w:t>
      </w:r>
      <w:r>
        <w:rPr>
          <w:sz w:val="20"/>
          <w:szCs w:val="20"/>
        </w:rPr>
        <w:t xml:space="preserve">  Los montos que se indican a continuación y que corresponden al porcentaje de asignación suponen la misma proporción relativa de participación del Reclamante en cada categoría.  Dado que las tasas de participación reales y finales de los Reclamantes en cada categoría variarán, se harán ajustes matemáticos según sea necesario para mantener los mismos porcentajes relativos reflejados en estas asignaciones.  Además, los montos de la Prestación Pecuniaria para niños entre seis años y seis años y seis meses en el momento de la primera exposición al agua de Flint se equipararán de modo que, por ejemplo, la Prestación Pecuniaria que reciba un niño de seis años no sea significativamente diferente a la que reciba un niño de seis años y un mes.  Se adjuntan a esta tabla ejemplos de los dos ajustes matemáticos realizados para mantener los porcentajes de asignación relativos y la equiparación de las Prestaciones Pecuniarias entre los seis años y los seis años y seis meses (lo cual muestra una reducción del 6% mensual de tales prestaciones a partir del mes anterior de cada uno de esos seis meses).</w:t>
      </w:r>
    </w:p>
    <w:tbl>
      <w:tblPr>
        <w:tblStyle w:val="TableGrid2"/>
        <w:tblW w:w="0" w:type="auto"/>
        <w:tblLook w:val="04A0" w:firstRow="1" w:lastRow="0" w:firstColumn="1" w:lastColumn="0" w:noHBand="0" w:noVBand="1"/>
      </w:tblPr>
      <w:tblGrid>
        <w:gridCol w:w="4675"/>
        <w:gridCol w:w="4675"/>
      </w:tblGrid>
      <w:tr w:rsidR="00E54CE6" w14:paraId="3B7CACCE" w14:textId="77777777">
        <w:tc>
          <w:tcPr>
            <w:tcW w:w="4675" w:type="dxa"/>
          </w:tcPr>
          <w:p w14:paraId="4A3D1A31" w14:textId="77777777" w:rsidR="00E54CE6" w:rsidRDefault="0016202A">
            <w:pPr>
              <w:rPr>
                <w:sz w:val="20"/>
                <w:szCs w:val="20"/>
              </w:rPr>
            </w:pPr>
            <w:r>
              <w:rPr>
                <w:sz w:val="20"/>
                <w:szCs w:val="20"/>
              </w:rPr>
              <w:t>Categorías de Indemnización de Menores de Edad</w:t>
            </w:r>
          </w:p>
        </w:tc>
        <w:tc>
          <w:tcPr>
            <w:tcW w:w="4675" w:type="dxa"/>
          </w:tcPr>
          <w:p w14:paraId="25229A0D" w14:textId="77777777" w:rsidR="00E54CE6" w:rsidRDefault="0016202A">
            <w:pPr>
              <w:rPr>
                <w:sz w:val="20"/>
                <w:szCs w:val="20"/>
              </w:rPr>
            </w:pPr>
            <w:r>
              <w:rPr>
                <w:sz w:val="20"/>
                <w:szCs w:val="20"/>
              </w:rPr>
              <w:t xml:space="preserve">79.5% (64.5% para </w:t>
            </w:r>
            <w:r>
              <w:rPr>
                <w:sz w:val="20"/>
                <w:szCs w:val="20"/>
                <w:u w:val="single"/>
              </w:rPr>
              <w:t>&lt;</w:t>
            </w:r>
            <w:r>
              <w:rPr>
                <w:sz w:val="20"/>
                <w:szCs w:val="20"/>
              </w:rPr>
              <w:t xml:space="preserve"> 6 años en el momento de la primera exposición; 10% para 7-11 años; 5% para 12-17 años)</w:t>
            </w:r>
          </w:p>
        </w:tc>
      </w:tr>
      <w:tr w:rsidR="00E54CE6" w14:paraId="3787345C" w14:textId="77777777">
        <w:tc>
          <w:tcPr>
            <w:tcW w:w="4675" w:type="dxa"/>
          </w:tcPr>
          <w:p w14:paraId="38FE2AA3" w14:textId="77777777" w:rsidR="00E54CE6" w:rsidRDefault="0016202A">
            <w:pPr>
              <w:rPr>
                <w:sz w:val="20"/>
                <w:szCs w:val="20"/>
              </w:rPr>
            </w:pPr>
            <w:r>
              <w:rPr>
                <w:sz w:val="20"/>
                <w:szCs w:val="20"/>
              </w:rPr>
              <w:t>Categorías de Indemnización de Daños en Inmuebles y Daños sufridos por Personas Mayores de Edad</w:t>
            </w:r>
          </w:p>
        </w:tc>
        <w:tc>
          <w:tcPr>
            <w:tcW w:w="4675" w:type="dxa"/>
          </w:tcPr>
          <w:p w14:paraId="09B673DA" w14:textId="77777777" w:rsidR="00E54CE6" w:rsidRDefault="0016202A">
            <w:pPr>
              <w:rPr>
                <w:sz w:val="20"/>
                <w:szCs w:val="20"/>
              </w:rPr>
            </w:pPr>
            <w:r>
              <w:rPr>
                <w:sz w:val="20"/>
                <w:szCs w:val="20"/>
              </w:rPr>
              <w:t>18% (15% por daños sufridos por adultos; 3% por daños en inmuebles)</w:t>
            </w:r>
          </w:p>
        </w:tc>
      </w:tr>
      <w:tr w:rsidR="00E54CE6" w14:paraId="2470BFB4" w14:textId="77777777">
        <w:tc>
          <w:tcPr>
            <w:tcW w:w="4675" w:type="dxa"/>
          </w:tcPr>
          <w:p w14:paraId="58F06FCF" w14:textId="77777777" w:rsidR="00E54CE6" w:rsidRDefault="0016202A">
            <w:pPr>
              <w:rPr>
                <w:sz w:val="20"/>
                <w:szCs w:val="20"/>
              </w:rPr>
            </w:pPr>
            <w:r>
              <w:rPr>
                <w:sz w:val="20"/>
                <w:szCs w:val="20"/>
              </w:rPr>
              <w:t>Categoría de Indemnización de Pérdida Económica Comercial</w:t>
            </w:r>
          </w:p>
        </w:tc>
        <w:tc>
          <w:tcPr>
            <w:tcW w:w="4675" w:type="dxa"/>
          </w:tcPr>
          <w:p w14:paraId="1AFE2F7E" w14:textId="77777777" w:rsidR="00E54CE6" w:rsidRDefault="0016202A">
            <w:pPr>
              <w:rPr>
                <w:sz w:val="20"/>
                <w:szCs w:val="20"/>
              </w:rPr>
            </w:pPr>
            <w:r>
              <w:rPr>
                <w:sz w:val="20"/>
                <w:szCs w:val="20"/>
              </w:rPr>
              <w:t>0.5%</w:t>
            </w:r>
          </w:p>
        </w:tc>
      </w:tr>
      <w:tr w:rsidR="00E54CE6" w14:paraId="44E09451" w14:textId="77777777">
        <w:tc>
          <w:tcPr>
            <w:tcW w:w="4675" w:type="dxa"/>
          </w:tcPr>
          <w:p w14:paraId="14772872" w14:textId="77777777" w:rsidR="00E54CE6" w:rsidRDefault="0016202A">
            <w:pPr>
              <w:rPr>
                <w:sz w:val="20"/>
                <w:szCs w:val="20"/>
              </w:rPr>
            </w:pPr>
            <w:r>
              <w:rPr>
                <w:sz w:val="20"/>
                <w:szCs w:val="20"/>
              </w:rPr>
              <w:t>Categoría de Indemnización de Alivio Programático</w:t>
            </w:r>
          </w:p>
        </w:tc>
        <w:tc>
          <w:tcPr>
            <w:tcW w:w="4675" w:type="dxa"/>
          </w:tcPr>
          <w:p w14:paraId="3A575EE7" w14:textId="77777777" w:rsidR="00E54CE6" w:rsidRDefault="0016202A">
            <w:pPr>
              <w:rPr>
                <w:sz w:val="20"/>
                <w:szCs w:val="20"/>
              </w:rPr>
            </w:pPr>
            <w:r>
              <w:rPr>
                <w:sz w:val="20"/>
                <w:szCs w:val="20"/>
              </w:rPr>
              <w:t>2%</w:t>
            </w:r>
          </w:p>
        </w:tc>
      </w:tr>
    </w:tbl>
    <w:p w14:paraId="76A6BD71" w14:textId="77777777" w:rsidR="00E54CE6" w:rsidRDefault="00E54CE6">
      <w:pPr>
        <w:pStyle w:val="FootnoteText1"/>
      </w:pPr>
    </w:p>
  </w:footnote>
  <w:footnote w:id="2">
    <w:p w14:paraId="75BE85F8" w14:textId="77777777" w:rsidR="00E54CE6" w:rsidRDefault="0016202A">
      <w:pPr>
        <w:pStyle w:val="FootnoteText"/>
      </w:pPr>
      <w:r>
        <w:rPr>
          <w:rStyle w:val="FootnoteReference"/>
        </w:rPr>
        <w:footnoteRef/>
      </w:r>
      <w:r>
        <w:t xml:space="preserve"> En virtud de la Regla 340.1705 de las Reglas Administrativas para la Educación Especial de Michigan (“MARSE”, por sus siglas en inglés), Discapacidad cognitiva; Determinación. Regla 5.</w:t>
      </w:r>
    </w:p>
  </w:footnote>
  <w:footnote w:id="3">
    <w:p w14:paraId="292666EB" w14:textId="77777777" w:rsidR="00E54CE6" w:rsidRDefault="0016202A">
      <w:pPr>
        <w:pStyle w:val="FootnoteText1"/>
        <w:jc w:val="both"/>
      </w:pPr>
      <w:r>
        <w:rPr>
          <w:rStyle w:val="FootnoteReference"/>
        </w:rPr>
        <w:footnoteRef/>
      </w:r>
      <w:r>
        <w:t>En esta Categoría y en las categorías de descripción similar, “Residencia” se refiere al inmueble residencial donde la persona residió o habitó y estuvo expuesta al agua de Flint por al menos 21 días durante cualquier período de 30 días entre el 25 de abril de 2014 y el 31 de julio de 2016.  “Residió o habitó” se refiere a la ubicación o residencia legal de una persona en la cual dormía en forma regular en Flint, según se refleja en un registro médico u otro fidedigno.</w:t>
      </w:r>
    </w:p>
  </w:footnote>
  <w:footnote w:id="4">
    <w:p w14:paraId="41470788" w14:textId="77777777" w:rsidR="00E54CE6" w:rsidRDefault="0016202A">
      <w:pPr>
        <w:pStyle w:val="FootnoteText"/>
        <w:jc w:val="both"/>
        <w:rPr>
          <w:rFonts w:cs="Times New Roman"/>
        </w:rPr>
      </w:pPr>
      <w:r>
        <w:rPr>
          <w:rStyle w:val="FootnoteReference"/>
        </w:rPr>
        <w:footnoteRef/>
      </w:r>
      <w:r>
        <w:t>Esta descripción de la Categoría 27 asume que los Demandados de McLaren no ejercerán ninguno de los derechos en virtud de los Artículos XVIII (Disposiciones de Salida) o XVIII (Rescisión) del Acuerdo de Indemnización.  Si los Demandados de McLaren ejercen tales derechos, entonces, en virtud del Artículo XVII, esta descripción de la Categoría 27 quedará sin efecto y se reemplazará con el Anexo 18 del Acuerdo de Indemnización.</w:t>
      </w:r>
    </w:p>
    <w:p w14:paraId="5CF8D528" w14:textId="77777777" w:rsidR="00E54CE6" w:rsidRDefault="00E54CE6">
      <w:pPr>
        <w:pStyle w:val="FootnoteText"/>
      </w:pPr>
    </w:p>
  </w:footnote>
  <w:footnote w:id="5">
    <w:p w14:paraId="511636D2" w14:textId="77777777" w:rsidR="00E54CE6" w:rsidRDefault="0016202A">
      <w:pPr>
        <w:pStyle w:val="FootnoteText"/>
        <w:jc w:val="both"/>
      </w:pPr>
      <w:r>
        <w:rPr>
          <w:rStyle w:val="FootnoteReference"/>
        </w:rPr>
        <w:footnoteRef/>
      </w:r>
      <w:r>
        <w:t>Las Prestaciones Pecuniarias en virtud de la Categoría de Indemnización 27B se indican como prestaciones brutas en dólares de las cuales se deducirán los honorarios de los abogados y los gastos pagaderos por los Reclamantes después de la revisión y aprobación del monto por parte del Tribunal Federal.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374C" w14:textId="77777777" w:rsidR="00A41A10" w:rsidRDefault="00A41A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5E56" w14:textId="77777777" w:rsidR="00E54CE6" w:rsidRDefault="0016202A">
    <w:pPr>
      <w:pStyle w:val="Header1"/>
      <w:rPr>
        <w:sz w:val="24"/>
        <w:szCs w:val="24"/>
      </w:rPr>
    </w:pPr>
    <w:r>
      <w:rPr>
        <w:sz w:val="24"/>
        <w:szCs w:val="24"/>
      </w:rPr>
      <w:t>Categorías del Fondo de Indemnización Calificado de los Casos del Agua de Flint (FWC), Prestaciones Pecuniarias y Tabla de Pruebas Exigidas (11/11/2020)</w:t>
    </w:r>
  </w:p>
  <w:p w14:paraId="7D11E7CC" w14:textId="77777777" w:rsidR="00E54CE6" w:rsidRDefault="00E54CE6">
    <w:pPr>
      <w:pStyle w:val="Header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DFFAFE10A92542C898BFD02A9ADB06B0"/>
      </w:placeholder>
      <w:temporary/>
      <w:showingPlcHdr/>
      <w15:appearance w15:val="hidden"/>
    </w:sdtPr>
    <w:sdtContent>
      <w:p w14:paraId="3E766F23" w14:textId="77777777" w:rsidR="00A41A10" w:rsidRDefault="00A41A10">
        <w:pPr>
          <w:pStyle w:val="Header"/>
        </w:pPr>
        <w:r>
          <w:t>[Type here]</w:t>
        </w:r>
      </w:p>
    </w:sdtContent>
  </w:sdt>
  <w:p w14:paraId="0E93E934" w14:textId="77777777" w:rsidR="00A41A10" w:rsidRDefault="00A41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37CB6"/>
    <w:multiLevelType w:val="hybridMultilevel"/>
    <w:tmpl w:val="406492CE"/>
    <w:lvl w:ilvl="0" w:tplc="3F920E8E">
      <w:start w:val="1"/>
      <w:numFmt w:val="decimal"/>
      <w:lvlText w:val="(%1)"/>
      <w:lvlJc w:val="left"/>
      <w:pPr>
        <w:ind w:left="720" w:hanging="360"/>
      </w:pPr>
      <w:rPr>
        <w:rFonts w:hint="default"/>
      </w:rPr>
    </w:lvl>
    <w:lvl w:ilvl="1" w:tplc="B9A6CDA8" w:tentative="1">
      <w:start w:val="1"/>
      <w:numFmt w:val="lowerLetter"/>
      <w:lvlText w:val="%2."/>
      <w:lvlJc w:val="left"/>
      <w:pPr>
        <w:ind w:left="1440" w:hanging="360"/>
      </w:pPr>
    </w:lvl>
    <w:lvl w:ilvl="2" w:tplc="5E485772" w:tentative="1">
      <w:start w:val="1"/>
      <w:numFmt w:val="lowerRoman"/>
      <w:lvlText w:val="%3."/>
      <w:lvlJc w:val="right"/>
      <w:pPr>
        <w:ind w:left="2160" w:hanging="180"/>
      </w:pPr>
    </w:lvl>
    <w:lvl w:ilvl="3" w:tplc="0ED2DE70" w:tentative="1">
      <w:start w:val="1"/>
      <w:numFmt w:val="decimal"/>
      <w:lvlText w:val="%4."/>
      <w:lvlJc w:val="left"/>
      <w:pPr>
        <w:ind w:left="2880" w:hanging="360"/>
      </w:pPr>
    </w:lvl>
    <w:lvl w:ilvl="4" w:tplc="2A6E11D6" w:tentative="1">
      <w:start w:val="1"/>
      <w:numFmt w:val="lowerLetter"/>
      <w:lvlText w:val="%5."/>
      <w:lvlJc w:val="left"/>
      <w:pPr>
        <w:ind w:left="3600" w:hanging="360"/>
      </w:pPr>
    </w:lvl>
    <w:lvl w:ilvl="5" w:tplc="BD1EBB80" w:tentative="1">
      <w:start w:val="1"/>
      <w:numFmt w:val="lowerRoman"/>
      <w:lvlText w:val="%6."/>
      <w:lvlJc w:val="right"/>
      <w:pPr>
        <w:ind w:left="4320" w:hanging="180"/>
      </w:pPr>
    </w:lvl>
    <w:lvl w:ilvl="6" w:tplc="9C9EDCDA" w:tentative="1">
      <w:start w:val="1"/>
      <w:numFmt w:val="decimal"/>
      <w:lvlText w:val="%7."/>
      <w:lvlJc w:val="left"/>
      <w:pPr>
        <w:ind w:left="5040" w:hanging="360"/>
      </w:pPr>
    </w:lvl>
    <w:lvl w:ilvl="7" w:tplc="21586E00" w:tentative="1">
      <w:start w:val="1"/>
      <w:numFmt w:val="lowerLetter"/>
      <w:lvlText w:val="%8."/>
      <w:lvlJc w:val="left"/>
      <w:pPr>
        <w:ind w:left="5760" w:hanging="360"/>
      </w:pPr>
    </w:lvl>
    <w:lvl w:ilvl="8" w:tplc="8AD6A84E" w:tentative="1">
      <w:start w:val="1"/>
      <w:numFmt w:val="lowerRoman"/>
      <w:lvlText w:val="%9."/>
      <w:lvlJc w:val="right"/>
      <w:pPr>
        <w:ind w:left="6480" w:hanging="180"/>
      </w:pPr>
    </w:lvl>
  </w:abstractNum>
  <w:abstractNum w:abstractNumId="1" w15:restartNumberingAfterBreak="0">
    <w:nsid w:val="195100D7"/>
    <w:multiLevelType w:val="hybridMultilevel"/>
    <w:tmpl w:val="2ACA010C"/>
    <w:lvl w:ilvl="0" w:tplc="BB66B30C">
      <w:start w:val="1"/>
      <w:numFmt w:val="decimal"/>
      <w:lvlText w:val="(%1)"/>
      <w:lvlJc w:val="left"/>
      <w:pPr>
        <w:ind w:left="720" w:hanging="360"/>
      </w:pPr>
      <w:rPr>
        <w:rFonts w:hint="default"/>
      </w:rPr>
    </w:lvl>
    <w:lvl w:ilvl="1" w:tplc="42786584" w:tentative="1">
      <w:start w:val="1"/>
      <w:numFmt w:val="lowerLetter"/>
      <w:lvlText w:val="%2."/>
      <w:lvlJc w:val="left"/>
      <w:pPr>
        <w:ind w:left="1440" w:hanging="360"/>
      </w:pPr>
    </w:lvl>
    <w:lvl w:ilvl="2" w:tplc="DD06D762" w:tentative="1">
      <w:start w:val="1"/>
      <w:numFmt w:val="lowerRoman"/>
      <w:lvlText w:val="%3."/>
      <w:lvlJc w:val="right"/>
      <w:pPr>
        <w:ind w:left="2160" w:hanging="180"/>
      </w:pPr>
    </w:lvl>
    <w:lvl w:ilvl="3" w:tplc="46DE188E" w:tentative="1">
      <w:start w:val="1"/>
      <w:numFmt w:val="decimal"/>
      <w:lvlText w:val="%4."/>
      <w:lvlJc w:val="left"/>
      <w:pPr>
        <w:ind w:left="2880" w:hanging="360"/>
      </w:pPr>
    </w:lvl>
    <w:lvl w:ilvl="4" w:tplc="658ADBE2" w:tentative="1">
      <w:start w:val="1"/>
      <w:numFmt w:val="lowerLetter"/>
      <w:lvlText w:val="%5."/>
      <w:lvlJc w:val="left"/>
      <w:pPr>
        <w:ind w:left="3600" w:hanging="360"/>
      </w:pPr>
    </w:lvl>
    <w:lvl w:ilvl="5" w:tplc="23DE81C0" w:tentative="1">
      <w:start w:val="1"/>
      <w:numFmt w:val="lowerRoman"/>
      <w:lvlText w:val="%6."/>
      <w:lvlJc w:val="right"/>
      <w:pPr>
        <w:ind w:left="4320" w:hanging="180"/>
      </w:pPr>
    </w:lvl>
    <w:lvl w:ilvl="6" w:tplc="00E488D4" w:tentative="1">
      <w:start w:val="1"/>
      <w:numFmt w:val="decimal"/>
      <w:lvlText w:val="%7."/>
      <w:lvlJc w:val="left"/>
      <w:pPr>
        <w:ind w:left="5040" w:hanging="360"/>
      </w:pPr>
    </w:lvl>
    <w:lvl w:ilvl="7" w:tplc="923EBC12" w:tentative="1">
      <w:start w:val="1"/>
      <w:numFmt w:val="lowerLetter"/>
      <w:lvlText w:val="%8."/>
      <w:lvlJc w:val="left"/>
      <w:pPr>
        <w:ind w:left="5760" w:hanging="360"/>
      </w:pPr>
    </w:lvl>
    <w:lvl w:ilvl="8" w:tplc="B852B40A" w:tentative="1">
      <w:start w:val="1"/>
      <w:numFmt w:val="lowerRoman"/>
      <w:lvlText w:val="%9."/>
      <w:lvlJc w:val="right"/>
      <w:pPr>
        <w:ind w:left="6480" w:hanging="180"/>
      </w:pPr>
    </w:lvl>
  </w:abstractNum>
  <w:abstractNum w:abstractNumId="2" w15:restartNumberingAfterBreak="0">
    <w:nsid w:val="253C21BE"/>
    <w:multiLevelType w:val="hybridMultilevel"/>
    <w:tmpl w:val="D0F6F514"/>
    <w:lvl w:ilvl="0" w:tplc="CF34B85C">
      <w:start w:val="1"/>
      <w:numFmt w:val="upperRoman"/>
      <w:lvlText w:val="%1."/>
      <w:lvlJc w:val="left"/>
      <w:pPr>
        <w:ind w:left="1080" w:hanging="720"/>
      </w:pPr>
      <w:rPr>
        <w:rFonts w:hint="default"/>
      </w:rPr>
    </w:lvl>
    <w:lvl w:ilvl="1" w:tplc="324AB04E" w:tentative="1">
      <w:start w:val="1"/>
      <w:numFmt w:val="lowerLetter"/>
      <w:lvlText w:val="%2."/>
      <w:lvlJc w:val="left"/>
      <w:pPr>
        <w:ind w:left="1440" w:hanging="360"/>
      </w:pPr>
    </w:lvl>
    <w:lvl w:ilvl="2" w:tplc="29A8772A" w:tentative="1">
      <w:start w:val="1"/>
      <w:numFmt w:val="lowerRoman"/>
      <w:lvlText w:val="%3."/>
      <w:lvlJc w:val="right"/>
      <w:pPr>
        <w:ind w:left="2160" w:hanging="180"/>
      </w:pPr>
    </w:lvl>
    <w:lvl w:ilvl="3" w:tplc="260C1CAE" w:tentative="1">
      <w:start w:val="1"/>
      <w:numFmt w:val="decimal"/>
      <w:lvlText w:val="%4."/>
      <w:lvlJc w:val="left"/>
      <w:pPr>
        <w:ind w:left="2880" w:hanging="360"/>
      </w:pPr>
    </w:lvl>
    <w:lvl w:ilvl="4" w:tplc="9C54BF90" w:tentative="1">
      <w:start w:val="1"/>
      <w:numFmt w:val="lowerLetter"/>
      <w:lvlText w:val="%5."/>
      <w:lvlJc w:val="left"/>
      <w:pPr>
        <w:ind w:left="3600" w:hanging="360"/>
      </w:pPr>
    </w:lvl>
    <w:lvl w:ilvl="5" w:tplc="7BC237CA" w:tentative="1">
      <w:start w:val="1"/>
      <w:numFmt w:val="lowerRoman"/>
      <w:lvlText w:val="%6."/>
      <w:lvlJc w:val="right"/>
      <w:pPr>
        <w:ind w:left="4320" w:hanging="180"/>
      </w:pPr>
    </w:lvl>
    <w:lvl w:ilvl="6" w:tplc="8A9CEED2" w:tentative="1">
      <w:start w:val="1"/>
      <w:numFmt w:val="decimal"/>
      <w:lvlText w:val="%7."/>
      <w:lvlJc w:val="left"/>
      <w:pPr>
        <w:ind w:left="5040" w:hanging="360"/>
      </w:pPr>
    </w:lvl>
    <w:lvl w:ilvl="7" w:tplc="8C924646" w:tentative="1">
      <w:start w:val="1"/>
      <w:numFmt w:val="lowerLetter"/>
      <w:lvlText w:val="%8."/>
      <w:lvlJc w:val="left"/>
      <w:pPr>
        <w:ind w:left="5760" w:hanging="360"/>
      </w:pPr>
    </w:lvl>
    <w:lvl w:ilvl="8" w:tplc="459A8044" w:tentative="1">
      <w:start w:val="1"/>
      <w:numFmt w:val="lowerRoman"/>
      <w:lvlText w:val="%9."/>
      <w:lvlJc w:val="right"/>
      <w:pPr>
        <w:ind w:left="6480" w:hanging="180"/>
      </w:pPr>
    </w:lvl>
  </w:abstractNum>
  <w:abstractNum w:abstractNumId="3" w15:restartNumberingAfterBreak="0">
    <w:nsid w:val="3AA93425"/>
    <w:multiLevelType w:val="hybridMultilevel"/>
    <w:tmpl w:val="6CFEADD6"/>
    <w:lvl w:ilvl="0" w:tplc="C2A4937E">
      <w:start w:val="1"/>
      <w:numFmt w:val="bullet"/>
      <w:lvlText w:val="-"/>
      <w:lvlJc w:val="left"/>
      <w:pPr>
        <w:ind w:left="720" w:hanging="360"/>
      </w:pPr>
      <w:rPr>
        <w:rFonts w:ascii="Times New Roman" w:eastAsiaTheme="minorHAnsi" w:hAnsi="Times New Roman" w:cs="Times New Roman" w:hint="default"/>
      </w:rPr>
    </w:lvl>
    <w:lvl w:ilvl="1" w:tplc="AE324030" w:tentative="1">
      <w:start w:val="1"/>
      <w:numFmt w:val="bullet"/>
      <w:lvlText w:val="o"/>
      <w:lvlJc w:val="left"/>
      <w:pPr>
        <w:ind w:left="1440" w:hanging="360"/>
      </w:pPr>
      <w:rPr>
        <w:rFonts w:ascii="Courier New" w:hAnsi="Courier New" w:cs="Courier New" w:hint="default"/>
      </w:rPr>
    </w:lvl>
    <w:lvl w:ilvl="2" w:tplc="E6ECAD1C" w:tentative="1">
      <w:start w:val="1"/>
      <w:numFmt w:val="bullet"/>
      <w:lvlText w:val=""/>
      <w:lvlJc w:val="left"/>
      <w:pPr>
        <w:ind w:left="2160" w:hanging="360"/>
      </w:pPr>
      <w:rPr>
        <w:rFonts w:ascii="Wingdings" w:hAnsi="Wingdings" w:hint="default"/>
      </w:rPr>
    </w:lvl>
    <w:lvl w:ilvl="3" w:tplc="794254E2" w:tentative="1">
      <w:start w:val="1"/>
      <w:numFmt w:val="bullet"/>
      <w:lvlText w:val=""/>
      <w:lvlJc w:val="left"/>
      <w:pPr>
        <w:ind w:left="2880" w:hanging="360"/>
      </w:pPr>
      <w:rPr>
        <w:rFonts w:ascii="Symbol" w:hAnsi="Symbol" w:hint="default"/>
      </w:rPr>
    </w:lvl>
    <w:lvl w:ilvl="4" w:tplc="C32ACBAC" w:tentative="1">
      <w:start w:val="1"/>
      <w:numFmt w:val="bullet"/>
      <w:lvlText w:val="o"/>
      <w:lvlJc w:val="left"/>
      <w:pPr>
        <w:ind w:left="3600" w:hanging="360"/>
      </w:pPr>
      <w:rPr>
        <w:rFonts w:ascii="Courier New" w:hAnsi="Courier New" w:cs="Courier New" w:hint="default"/>
      </w:rPr>
    </w:lvl>
    <w:lvl w:ilvl="5" w:tplc="303CD784" w:tentative="1">
      <w:start w:val="1"/>
      <w:numFmt w:val="bullet"/>
      <w:lvlText w:val=""/>
      <w:lvlJc w:val="left"/>
      <w:pPr>
        <w:ind w:left="4320" w:hanging="360"/>
      </w:pPr>
      <w:rPr>
        <w:rFonts w:ascii="Wingdings" w:hAnsi="Wingdings" w:hint="default"/>
      </w:rPr>
    </w:lvl>
    <w:lvl w:ilvl="6" w:tplc="6EA2CC10" w:tentative="1">
      <w:start w:val="1"/>
      <w:numFmt w:val="bullet"/>
      <w:lvlText w:val=""/>
      <w:lvlJc w:val="left"/>
      <w:pPr>
        <w:ind w:left="5040" w:hanging="360"/>
      </w:pPr>
      <w:rPr>
        <w:rFonts w:ascii="Symbol" w:hAnsi="Symbol" w:hint="default"/>
      </w:rPr>
    </w:lvl>
    <w:lvl w:ilvl="7" w:tplc="1C181A04" w:tentative="1">
      <w:start w:val="1"/>
      <w:numFmt w:val="bullet"/>
      <w:lvlText w:val="o"/>
      <w:lvlJc w:val="left"/>
      <w:pPr>
        <w:ind w:left="5760" w:hanging="360"/>
      </w:pPr>
      <w:rPr>
        <w:rFonts w:ascii="Courier New" w:hAnsi="Courier New" w:cs="Courier New" w:hint="default"/>
      </w:rPr>
    </w:lvl>
    <w:lvl w:ilvl="8" w:tplc="829E5708" w:tentative="1">
      <w:start w:val="1"/>
      <w:numFmt w:val="bullet"/>
      <w:lvlText w:val=""/>
      <w:lvlJc w:val="left"/>
      <w:pPr>
        <w:ind w:left="6480" w:hanging="360"/>
      </w:pPr>
      <w:rPr>
        <w:rFonts w:ascii="Wingdings" w:hAnsi="Wingdings" w:hint="default"/>
      </w:rPr>
    </w:lvl>
  </w:abstractNum>
  <w:abstractNum w:abstractNumId="4" w15:restartNumberingAfterBreak="0">
    <w:nsid w:val="45E77951"/>
    <w:multiLevelType w:val="hybridMultilevel"/>
    <w:tmpl w:val="F954B634"/>
    <w:lvl w:ilvl="0" w:tplc="29C0F0DA">
      <w:start w:val="1"/>
      <w:numFmt w:val="upperRoman"/>
      <w:lvlText w:val="%1."/>
      <w:lvlJc w:val="left"/>
      <w:pPr>
        <w:ind w:left="1080" w:hanging="720"/>
      </w:pPr>
      <w:rPr>
        <w:rFonts w:hint="default"/>
      </w:rPr>
    </w:lvl>
    <w:lvl w:ilvl="1" w:tplc="6E8ECDF0" w:tentative="1">
      <w:start w:val="1"/>
      <w:numFmt w:val="lowerLetter"/>
      <w:lvlText w:val="%2."/>
      <w:lvlJc w:val="left"/>
      <w:pPr>
        <w:ind w:left="1440" w:hanging="360"/>
      </w:pPr>
    </w:lvl>
    <w:lvl w:ilvl="2" w:tplc="19867888" w:tentative="1">
      <w:start w:val="1"/>
      <w:numFmt w:val="lowerRoman"/>
      <w:lvlText w:val="%3."/>
      <w:lvlJc w:val="right"/>
      <w:pPr>
        <w:ind w:left="2160" w:hanging="180"/>
      </w:pPr>
    </w:lvl>
    <w:lvl w:ilvl="3" w:tplc="8F681EF6" w:tentative="1">
      <w:start w:val="1"/>
      <w:numFmt w:val="decimal"/>
      <w:lvlText w:val="%4."/>
      <w:lvlJc w:val="left"/>
      <w:pPr>
        <w:ind w:left="2880" w:hanging="360"/>
      </w:pPr>
    </w:lvl>
    <w:lvl w:ilvl="4" w:tplc="0B6C8472" w:tentative="1">
      <w:start w:val="1"/>
      <w:numFmt w:val="lowerLetter"/>
      <w:lvlText w:val="%5."/>
      <w:lvlJc w:val="left"/>
      <w:pPr>
        <w:ind w:left="3600" w:hanging="360"/>
      </w:pPr>
    </w:lvl>
    <w:lvl w:ilvl="5" w:tplc="738C394A" w:tentative="1">
      <w:start w:val="1"/>
      <w:numFmt w:val="lowerRoman"/>
      <w:lvlText w:val="%6."/>
      <w:lvlJc w:val="right"/>
      <w:pPr>
        <w:ind w:left="4320" w:hanging="180"/>
      </w:pPr>
    </w:lvl>
    <w:lvl w:ilvl="6" w:tplc="46381FD8" w:tentative="1">
      <w:start w:val="1"/>
      <w:numFmt w:val="decimal"/>
      <w:lvlText w:val="%7."/>
      <w:lvlJc w:val="left"/>
      <w:pPr>
        <w:ind w:left="5040" w:hanging="360"/>
      </w:pPr>
    </w:lvl>
    <w:lvl w:ilvl="7" w:tplc="1A300088" w:tentative="1">
      <w:start w:val="1"/>
      <w:numFmt w:val="lowerLetter"/>
      <w:lvlText w:val="%8."/>
      <w:lvlJc w:val="left"/>
      <w:pPr>
        <w:ind w:left="5760" w:hanging="360"/>
      </w:pPr>
    </w:lvl>
    <w:lvl w:ilvl="8" w:tplc="C19651D2" w:tentative="1">
      <w:start w:val="1"/>
      <w:numFmt w:val="lowerRoman"/>
      <w:lvlText w:val="%9."/>
      <w:lvlJc w:val="right"/>
      <w:pPr>
        <w:ind w:left="6480" w:hanging="180"/>
      </w:pPr>
    </w:lvl>
  </w:abstractNum>
  <w:abstractNum w:abstractNumId="5" w15:restartNumberingAfterBreak="0">
    <w:nsid w:val="4A9737A5"/>
    <w:multiLevelType w:val="hybridMultilevel"/>
    <w:tmpl w:val="9312B01A"/>
    <w:lvl w:ilvl="0" w:tplc="4AA2B0B8">
      <w:start w:val="1"/>
      <w:numFmt w:val="upperRoman"/>
      <w:lvlText w:val="%1."/>
      <w:lvlJc w:val="left"/>
      <w:pPr>
        <w:ind w:left="1080" w:hanging="720"/>
      </w:pPr>
      <w:rPr>
        <w:rFonts w:hint="default"/>
      </w:rPr>
    </w:lvl>
    <w:lvl w:ilvl="1" w:tplc="07AA53CA" w:tentative="1">
      <w:start w:val="1"/>
      <w:numFmt w:val="lowerLetter"/>
      <w:lvlText w:val="%2."/>
      <w:lvlJc w:val="left"/>
      <w:pPr>
        <w:ind w:left="1440" w:hanging="360"/>
      </w:pPr>
    </w:lvl>
    <w:lvl w:ilvl="2" w:tplc="06147458" w:tentative="1">
      <w:start w:val="1"/>
      <w:numFmt w:val="lowerRoman"/>
      <w:lvlText w:val="%3."/>
      <w:lvlJc w:val="right"/>
      <w:pPr>
        <w:ind w:left="2160" w:hanging="180"/>
      </w:pPr>
    </w:lvl>
    <w:lvl w:ilvl="3" w:tplc="F2FA29D6" w:tentative="1">
      <w:start w:val="1"/>
      <w:numFmt w:val="decimal"/>
      <w:lvlText w:val="%4."/>
      <w:lvlJc w:val="left"/>
      <w:pPr>
        <w:ind w:left="2880" w:hanging="360"/>
      </w:pPr>
    </w:lvl>
    <w:lvl w:ilvl="4" w:tplc="5B763502" w:tentative="1">
      <w:start w:val="1"/>
      <w:numFmt w:val="lowerLetter"/>
      <w:lvlText w:val="%5."/>
      <w:lvlJc w:val="left"/>
      <w:pPr>
        <w:ind w:left="3600" w:hanging="360"/>
      </w:pPr>
    </w:lvl>
    <w:lvl w:ilvl="5" w:tplc="F496D94E" w:tentative="1">
      <w:start w:val="1"/>
      <w:numFmt w:val="lowerRoman"/>
      <w:lvlText w:val="%6."/>
      <w:lvlJc w:val="right"/>
      <w:pPr>
        <w:ind w:left="4320" w:hanging="180"/>
      </w:pPr>
    </w:lvl>
    <w:lvl w:ilvl="6" w:tplc="039A7E5A" w:tentative="1">
      <w:start w:val="1"/>
      <w:numFmt w:val="decimal"/>
      <w:lvlText w:val="%7."/>
      <w:lvlJc w:val="left"/>
      <w:pPr>
        <w:ind w:left="5040" w:hanging="360"/>
      </w:pPr>
    </w:lvl>
    <w:lvl w:ilvl="7" w:tplc="C088BA84" w:tentative="1">
      <w:start w:val="1"/>
      <w:numFmt w:val="lowerLetter"/>
      <w:lvlText w:val="%8."/>
      <w:lvlJc w:val="left"/>
      <w:pPr>
        <w:ind w:left="5760" w:hanging="360"/>
      </w:pPr>
    </w:lvl>
    <w:lvl w:ilvl="8" w:tplc="040210F8" w:tentative="1">
      <w:start w:val="1"/>
      <w:numFmt w:val="lowerRoman"/>
      <w:lvlText w:val="%9."/>
      <w:lvlJc w:val="right"/>
      <w:pPr>
        <w:ind w:left="6480" w:hanging="180"/>
      </w:pPr>
    </w:lvl>
  </w:abstractNum>
  <w:abstractNum w:abstractNumId="6" w15:restartNumberingAfterBreak="0">
    <w:nsid w:val="602245D0"/>
    <w:multiLevelType w:val="hybridMultilevel"/>
    <w:tmpl w:val="70281360"/>
    <w:lvl w:ilvl="0" w:tplc="EFE832DE">
      <w:start w:val="1"/>
      <w:numFmt w:val="upperRoman"/>
      <w:lvlText w:val="%1."/>
      <w:lvlJc w:val="left"/>
      <w:pPr>
        <w:ind w:left="1080" w:hanging="720"/>
      </w:pPr>
      <w:rPr>
        <w:rFonts w:hint="default"/>
      </w:rPr>
    </w:lvl>
    <w:lvl w:ilvl="1" w:tplc="C212D794" w:tentative="1">
      <w:start w:val="1"/>
      <w:numFmt w:val="lowerLetter"/>
      <w:lvlText w:val="%2."/>
      <w:lvlJc w:val="left"/>
      <w:pPr>
        <w:ind w:left="1440" w:hanging="360"/>
      </w:pPr>
    </w:lvl>
    <w:lvl w:ilvl="2" w:tplc="D116DD96" w:tentative="1">
      <w:start w:val="1"/>
      <w:numFmt w:val="lowerRoman"/>
      <w:lvlText w:val="%3."/>
      <w:lvlJc w:val="right"/>
      <w:pPr>
        <w:ind w:left="2160" w:hanging="180"/>
      </w:pPr>
    </w:lvl>
    <w:lvl w:ilvl="3" w:tplc="59B4BA1E" w:tentative="1">
      <w:start w:val="1"/>
      <w:numFmt w:val="decimal"/>
      <w:lvlText w:val="%4."/>
      <w:lvlJc w:val="left"/>
      <w:pPr>
        <w:ind w:left="2880" w:hanging="360"/>
      </w:pPr>
    </w:lvl>
    <w:lvl w:ilvl="4" w:tplc="87429332" w:tentative="1">
      <w:start w:val="1"/>
      <w:numFmt w:val="lowerLetter"/>
      <w:lvlText w:val="%5."/>
      <w:lvlJc w:val="left"/>
      <w:pPr>
        <w:ind w:left="3600" w:hanging="360"/>
      </w:pPr>
    </w:lvl>
    <w:lvl w:ilvl="5" w:tplc="6414EEB0" w:tentative="1">
      <w:start w:val="1"/>
      <w:numFmt w:val="lowerRoman"/>
      <w:lvlText w:val="%6."/>
      <w:lvlJc w:val="right"/>
      <w:pPr>
        <w:ind w:left="4320" w:hanging="180"/>
      </w:pPr>
    </w:lvl>
    <w:lvl w:ilvl="6" w:tplc="A044C7A2" w:tentative="1">
      <w:start w:val="1"/>
      <w:numFmt w:val="decimal"/>
      <w:lvlText w:val="%7."/>
      <w:lvlJc w:val="left"/>
      <w:pPr>
        <w:ind w:left="5040" w:hanging="360"/>
      </w:pPr>
    </w:lvl>
    <w:lvl w:ilvl="7" w:tplc="38CC348E" w:tentative="1">
      <w:start w:val="1"/>
      <w:numFmt w:val="lowerLetter"/>
      <w:lvlText w:val="%8."/>
      <w:lvlJc w:val="left"/>
      <w:pPr>
        <w:ind w:left="5760" w:hanging="360"/>
      </w:pPr>
    </w:lvl>
    <w:lvl w:ilvl="8" w:tplc="AEB049C2" w:tentative="1">
      <w:start w:val="1"/>
      <w:numFmt w:val="lowerRoman"/>
      <w:lvlText w:val="%9."/>
      <w:lvlJc w:val="right"/>
      <w:pPr>
        <w:ind w:left="6480" w:hanging="180"/>
      </w:pPr>
    </w:lvl>
  </w:abstractNum>
  <w:abstractNum w:abstractNumId="7" w15:restartNumberingAfterBreak="0">
    <w:nsid w:val="66CB3EB8"/>
    <w:multiLevelType w:val="hybridMultilevel"/>
    <w:tmpl w:val="70281360"/>
    <w:lvl w:ilvl="0" w:tplc="66566FD8">
      <w:start w:val="1"/>
      <w:numFmt w:val="upperRoman"/>
      <w:lvlText w:val="%1."/>
      <w:lvlJc w:val="left"/>
      <w:pPr>
        <w:ind w:left="1080" w:hanging="720"/>
      </w:pPr>
      <w:rPr>
        <w:rFonts w:hint="default"/>
      </w:rPr>
    </w:lvl>
    <w:lvl w:ilvl="1" w:tplc="21505C74" w:tentative="1">
      <w:start w:val="1"/>
      <w:numFmt w:val="lowerLetter"/>
      <w:lvlText w:val="%2."/>
      <w:lvlJc w:val="left"/>
      <w:pPr>
        <w:ind w:left="1440" w:hanging="360"/>
      </w:pPr>
    </w:lvl>
    <w:lvl w:ilvl="2" w:tplc="4A10ADD6" w:tentative="1">
      <w:start w:val="1"/>
      <w:numFmt w:val="lowerRoman"/>
      <w:lvlText w:val="%3."/>
      <w:lvlJc w:val="right"/>
      <w:pPr>
        <w:ind w:left="2160" w:hanging="180"/>
      </w:pPr>
    </w:lvl>
    <w:lvl w:ilvl="3" w:tplc="7C1A8BA2" w:tentative="1">
      <w:start w:val="1"/>
      <w:numFmt w:val="decimal"/>
      <w:lvlText w:val="%4."/>
      <w:lvlJc w:val="left"/>
      <w:pPr>
        <w:ind w:left="2880" w:hanging="360"/>
      </w:pPr>
    </w:lvl>
    <w:lvl w:ilvl="4" w:tplc="2CAC2214" w:tentative="1">
      <w:start w:val="1"/>
      <w:numFmt w:val="lowerLetter"/>
      <w:lvlText w:val="%5."/>
      <w:lvlJc w:val="left"/>
      <w:pPr>
        <w:ind w:left="3600" w:hanging="360"/>
      </w:pPr>
    </w:lvl>
    <w:lvl w:ilvl="5" w:tplc="C8B8C260" w:tentative="1">
      <w:start w:val="1"/>
      <w:numFmt w:val="lowerRoman"/>
      <w:lvlText w:val="%6."/>
      <w:lvlJc w:val="right"/>
      <w:pPr>
        <w:ind w:left="4320" w:hanging="180"/>
      </w:pPr>
    </w:lvl>
    <w:lvl w:ilvl="6" w:tplc="7C684680" w:tentative="1">
      <w:start w:val="1"/>
      <w:numFmt w:val="decimal"/>
      <w:lvlText w:val="%7."/>
      <w:lvlJc w:val="left"/>
      <w:pPr>
        <w:ind w:left="5040" w:hanging="360"/>
      </w:pPr>
    </w:lvl>
    <w:lvl w:ilvl="7" w:tplc="07BE3DF0" w:tentative="1">
      <w:start w:val="1"/>
      <w:numFmt w:val="lowerLetter"/>
      <w:lvlText w:val="%8."/>
      <w:lvlJc w:val="left"/>
      <w:pPr>
        <w:ind w:left="5760" w:hanging="360"/>
      </w:pPr>
    </w:lvl>
    <w:lvl w:ilvl="8" w:tplc="9DC65BBA" w:tentative="1">
      <w:start w:val="1"/>
      <w:numFmt w:val="lowerRoman"/>
      <w:lvlText w:val="%9."/>
      <w:lvlJc w:val="right"/>
      <w:pPr>
        <w:ind w:left="6480" w:hanging="180"/>
      </w:pPr>
    </w:lvl>
  </w:abstractNum>
  <w:abstractNum w:abstractNumId="8" w15:restartNumberingAfterBreak="0">
    <w:nsid w:val="70506D1C"/>
    <w:multiLevelType w:val="hybridMultilevel"/>
    <w:tmpl w:val="FA52A3BC"/>
    <w:lvl w:ilvl="0" w:tplc="0980BFCA">
      <w:start w:val="1"/>
      <w:numFmt w:val="decimal"/>
      <w:lvlText w:val="(%1)"/>
      <w:lvlJc w:val="left"/>
      <w:pPr>
        <w:ind w:left="360" w:hanging="360"/>
      </w:pPr>
      <w:rPr>
        <w:rFonts w:hint="default"/>
      </w:rPr>
    </w:lvl>
    <w:lvl w:ilvl="1" w:tplc="5FB05C84" w:tentative="1">
      <w:start w:val="1"/>
      <w:numFmt w:val="lowerLetter"/>
      <w:lvlText w:val="%2."/>
      <w:lvlJc w:val="left"/>
      <w:pPr>
        <w:ind w:left="1080" w:hanging="360"/>
      </w:pPr>
    </w:lvl>
    <w:lvl w:ilvl="2" w:tplc="C6D42AA8" w:tentative="1">
      <w:start w:val="1"/>
      <w:numFmt w:val="lowerRoman"/>
      <w:lvlText w:val="%3."/>
      <w:lvlJc w:val="right"/>
      <w:pPr>
        <w:ind w:left="1800" w:hanging="180"/>
      </w:pPr>
    </w:lvl>
    <w:lvl w:ilvl="3" w:tplc="BD9C9ADE" w:tentative="1">
      <w:start w:val="1"/>
      <w:numFmt w:val="decimal"/>
      <w:lvlText w:val="%4."/>
      <w:lvlJc w:val="left"/>
      <w:pPr>
        <w:ind w:left="2520" w:hanging="360"/>
      </w:pPr>
    </w:lvl>
    <w:lvl w:ilvl="4" w:tplc="C49C06B0" w:tentative="1">
      <w:start w:val="1"/>
      <w:numFmt w:val="lowerLetter"/>
      <w:lvlText w:val="%5."/>
      <w:lvlJc w:val="left"/>
      <w:pPr>
        <w:ind w:left="3240" w:hanging="360"/>
      </w:pPr>
    </w:lvl>
    <w:lvl w:ilvl="5" w:tplc="F1CE35A0" w:tentative="1">
      <w:start w:val="1"/>
      <w:numFmt w:val="lowerRoman"/>
      <w:lvlText w:val="%6."/>
      <w:lvlJc w:val="right"/>
      <w:pPr>
        <w:ind w:left="3960" w:hanging="180"/>
      </w:pPr>
    </w:lvl>
    <w:lvl w:ilvl="6" w:tplc="C09E0BF6" w:tentative="1">
      <w:start w:val="1"/>
      <w:numFmt w:val="decimal"/>
      <w:lvlText w:val="%7."/>
      <w:lvlJc w:val="left"/>
      <w:pPr>
        <w:ind w:left="4680" w:hanging="360"/>
      </w:pPr>
    </w:lvl>
    <w:lvl w:ilvl="7" w:tplc="5B3C6E70" w:tentative="1">
      <w:start w:val="1"/>
      <w:numFmt w:val="lowerLetter"/>
      <w:lvlText w:val="%8."/>
      <w:lvlJc w:val="left"/>
      <w:pPr>
        <w:ind w:left="5400" w:hanging="360"/>
      </w:pPr>
    </w:lvl>
    <w:lvl w:ilvl="8" w:tplc="2B7CB996" w:tentative="1">
      <w:start w:val="1"/>
      <w:numFmt w:val="lowerRoman"/>
      <w:lvlText w:val="%9."/>
      <w:lvlJc w:val="right"/>
      <w:pPr>
        <w:ind w:left="6120" w:hanging="180"/>
      </w:pPr>
    </w:lvl>
  </w:abstractNum>
  <w:abstractNum w:abstractNumId="9" w15:restartNumberingAfterBreak="0">
    <w:nsid w:val="74C275AA"/>
    <w:multiLevelType w:val="hybridMultilevel"/>
    <w:tmpl w:val="3C6EB674"/>
    <w:lvl w:ilvl="0" w:tplc="B31E22E4">
      <w:start w:val="1"/>
      <w:numFmt w:val="decimal"/>
      <w:lvlText w:val="(%1)"/>
      <w:lvlJc w:val="left"/>
      <w:pPr>
        <w:ind w:left="360" w:hanging="360"/>
      </w:pPr>
      <w:rPr>
        <w:rFonts w:hint="default"/>
      </w:rPr>
    </w:lvl>
    <w:lvl w:ilvl="1" w:tplc="CA0E30DC" w:tentative="1">
      <w:start w:val="1"/>
      <w:numFmt w:val="lowerLetter"/>
      <w:lvlText w:val="%2."/>
      <w:lvlJc w:val="left"/>
      <w:pPr>
        <w:ind w:left="1080" w:hanging="360"/>
      </w:pPr>
    </w:lvl>
    <w:lvl w:ilvl="2" w:tplc="CB32B6DC" w:tentative="1">
      <w:start w:val="1"/>
      <w:numFmt w:val="lowerRoman"/>
      <w:lvlText w:val="%3."/>
      <w:lvlJc w:val="right"/>
      <w:pPr>
        <w:ind w:left="1800" w:hanging="180"/>
      </w:pPr>
    </w:lvl>
    <w:lvl w:ilvl="3" w:tplc="C00ABDF6" w:tentative="1">
      <w:start w:val="1"/>
      <w:numFmt w:val="decimal"/>
      <w:lvlText w:val="%4."/>
      <w:lvlJc w:val="left"/>
      <w:pPr>
        <w:ind w:left="2520" w:hanging="360"/>
      </w:pPr>
    </w:lvl>
    <w:lvl w:ilvl="4" w:tplc="FC560CDC" w:tentative="1">
      <w:start w:val="1"/>
      <w:numFmt w:val="lowerLetter"/>
      <w:lvlText w:val="%5."/>
      <w:lvlJc w:val="left"/>
      <w:pPr>
        <w:ind w:left="3240" w:hanging="360"/>
      </w:pPr>
    </w:lvl>
    <w:lvl w:ilvl="5" w:tplc="CEDEBA58" w:tentative="1">
      <w:start w:val="1"/>
      <w:numFmt w:val="lowerRoman"/>
      <w:lvlText w:val="%6."/>
      <w:lvlJc w:val="right"/>
      <w:pPr>
        <w:ind w:left="3960" w:hanging="180"/>
      </w:pPr>
    </w:lvl>
    <w:lvl w:ilvl="6" w:tplc="4610647C" w:tentative="1">
      <w:start w:val="1"/>
      <w:numFmt w:val="decimal"/>
      <w:lvlText w:val="%7."/>
      <w:lvlJc w:val="left"/>
      <w:pPr>
        <w:ind w:left="4680" w:hanging="360"/>
      </w:pPr>
    </w:lvl>
    <w:lvl w:ilvl="7" w:tplc="691CE272" w:tentative="1">
      <w:start w:val="1"/>
      <w:numFmt w:val="lowerLetter"/>
      <w:lvlText w:val="%8."/>
      <w:lvlJc w:val="left"/>
      <w:pPr>
        <w:ind w:left="5400" w:hanging="360"/>
      </w:pPr>
    </w:lvl>
    <w:lvl w:ilvl="8" w:tplc="D4AECEAA" w:tentative="1">
      <w:start w:val="1"/>
      <w:numFmt w:val="lowerRoman"/>
      <w:lvlText w:val="%9."/>
      <w:lvlJc w:val="right"/>
      <w:pPr>
        <w:ind w:left="6120" w:hanging="180"/>
      </w:pPr>
    </w:lvl>
  </w:abstractNum>
  <w:num w:numId="1">
    <w:abstractNumId w:val="8"/>
  </w:num>
  <w:num w:numId="2">
    <w:abstractNumId w:val="6"/>
  </w:num>
  <w:num w:numId="3">
    <w:abstractNumId w:val="2"/>
  </w:num>
  <w:num w:numId="4">
    <w:abstractNumId w:val="9"/>
  </w:num>
  <w:num w:numId="5">
    <w:abstractNumId w:val="7"/>
  </w:num>
  <w:num w:numId="6">
    <w:abstractNumId w:val="5"/>
  </w:num>
  <w:num w:numId="7">
    <w:abstractNumId w:val="4"/>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FooterText" w:val="486240v1"/>
  </w:docVars>
  <w:rsids>
    <w:rsidRoot w:val="00E54CE6"/>
    <w:rsid w:val="000E4C87"/>
    <w:rsid w:val="0016202A"/>
    <w:rsid w:val="004E4BFB"/>
    <w:rsid w:val="009D6AA8"/>
    <w:rsid w:val="00A41A10"/>
    <w:rsid w:val="00BE39BF"/>
    <w:rsid w:val="00C008C5"/>
    <w:rsid w:val="00E532F9"/>
    <w:rsid w:val="00E54CE6"/>
    <w:rsid w:val="00E877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8EB91"/>
  <w15:chartTrackingRefBased/>
  <w15:docId w15:val="{D2CA5AAE-A27A-48FE-B192-1DAF6AA3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1"/>
    <w:uiPriority w:val="99"/>
    <w:semiHidden/>
    <w:rPr>
      <w:rFonts w:ascii="Times New Roman" w:hAnsi="Times New Roman"/>
      <w:sz w:val="20"/>
      <w:szCs w:val="20"/>
    </w:rPr>
  </w:style>
  <w:style w:type="character" w:styleId="FootnoteReference">
    <w:name w:val="footnote reference"/>
    <w:basedOn w:val="DefaultParagraphFont"/>
    <w:uiPriority w:val="99"/>
    <w:semiHidden/>
    <w:unhideWhenUsed/>
    <w:rPr>
      <w:vertAlign w:val="superscript"/>
    </w:rPr>
  </w:style>
  <w:style w:type="table" w:customStyle="1" w:styleId="TableGrid2">
    <w:name w:val="Table Grid2"/>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pPr>
      <w:ind w:left="720"/>
      <w:contextualSpacing/>
    </w:pPr>
  </w:style>
  <w:style w:type="character" w:customStyle="1" w:styleId="apple-converted-space">
    <w:name w:val="apple-converted-space"/>
    <w:basedOn w:val="DefaultParagraphFont"/>
  </w:style>
  <w:style w:type="paragraph" w:customStyle="1" w:styleId="Header1">
    <w:name w:val="Header1"/>
    <w:basedOn w:val="Normal"/>
    <w:next w:val="Header"/>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1"/>
    <w:uiPriority w:val="99"/>
    <w:rPr>
      <w:rFonts w:ascii="Times New Roman" w:hAnsi="Times New Roman"/>
      <w:sz w:val="28"/>
    </w:rPr>
  </w:style>
  <w:style w:type="paragraph" w:customStyle="1" w:styleId="Footer1">
    <w:name w:val="Footer1"/>
    <w:basedOn w:val="Normal"/>
    <w:next w:val="Footer"/>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1"/>
    <w:uiPriority w:val="99"/>
    <w:rPr>
      <w:rFonts w:ascii="Times New Roman" w:hAnsi="Times New Roman"/>
      <w:sz w:val="28"/>
    </w:rPr>
  </w:style>
  <w:style w:type="character" w:styleId="CommentReference">
    <w:name w:val="annotation reference"/>
    <w:basedOn w:val="DefaultParagraphFont"/>
    <w:uiPriority w:val="99"/>
    <w:semiHidden/>
    <w:unhideWhenUsed/>
    <w:rPr>
      <w:sz w:val="16"/>
      <w:szCs w:val="16"/>
    </w:rPr>
  </w:style>
  <w:style w:type="paragraph" w:customStyle="1" w:styleId="CommentText1">
    <w:name w:val="Comment Text1"/>
    <w:basedOn w:val="Normal"/>
    <w:next w:val="CommentText"/>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1"/>
    <w:uiPriority w:val="99"/>
    <w:semiHidden/>
    <w:rPr>
      <w:rFonts w:ascii="Times New Roman" w:hAnsi="Times New Roman"/>
      <w:sz w:val="20"/>
      <w:szCs w:val="20"/>
    </w:rPr>
  </w:style>
  <w:style w:type="paragraph" w:customStyle="1" w:styleId="CommentSubject1">
    <w:name w:val="Comment Subject1"/>
    <w:basedOn w:val="CommentText"/>
    <w:next w:val="CommentText"/>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paragraph" w:customStyle="1" w:styleId="BalloonText1">
    <w:name w:val="Balloon Text1"/>
    <w:basedOn w:val="Normal"/>
    <w:next w:val="BalloonText"/>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Pr>
      <w:rFonts w:ascii="Segoe UI" w:hAnsi="Segoe UI" w:cs="Segoe UI"/>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semiHidden/>
    <w:unhideWhenUsed/>
    <w:pPr>
      <w:spacing w:after="0" w:line="240" w:lineRule="auto"/>
    </w:pPr>
    <w:rPr>
      <w:sz w:val="20"/>
      <w:szCs w:val="20"/>
    </w:rPr>
  </w:style>
  <w:style w:type="character" w:customStyle="1" w:styleId="FootnoteTextChar1">
    <w:name w:val="Footnote Text Char1"/>
    <w:basedOn w:val="DefaultParagraphFont"/>
    <w:link w:val="FootnoteText"/>
    <w:uiPriority w:val="99"/>
    <w:semiHidden/>
    <w:rPr>
      <w:sz w:val="20"/>
      <w:szCs w:val="20"/>
    </w:rPr>
  </w:style>
  <w:style w:type="paragraph" w:styleId="ListParagraph">
    <w:name w:val="List Paragraph"/>
    <w:basedOn w:val="Normal"/>
    <w:uiPriority w:val="34"/>
    <w:qFormat/>
    <w:pPr>
      <w:ind w:left="720"/>
      <w:contextualSpacing/>
    </w:pPr>
  </w:style>
  <w:style w:type="paragraph" w:styleId="Header">
    <w:name w:val="header"/>
    <w:basedOn w:val="Normal"/>
    <w:link w:val="HeaderChar1"/>
    <w:uiPriority w:val="99"/>
    <w:unhideWhenUsed/>
    <w:pPr>
      <w:tabs>
        <w:tab w:val="center" w:pos="4680"/>
        <w:tab w:val="right" w:pos="9360"/>
      </w:tabs>
      <w:spacing w:after="0" w:line="240" w:lineRule="auto"/>
    </w:pPr>
  </w:style>
  <w:style w:type="character" w:customStyle="1" w:styleId="HeaderChar1">
    <w:name w:val="Header Char1"/>
    <w:basedOn w:val="DefaultParagraphFont"/>
    <w:link w:val="Header"/>
    <w:uiPriority w:val="99"/>
  </w:style>
  <w:style w:type="paragraph" w:styleId="Footer">
    <w:name w:val="footer"/>
    <w:basedOn w:val="Normal"/>
    <w:link w:val="FooterChar1"/>
    <w:uiPriority w:val="99"/>
    <w:unhideWhenUsed/>
    <w:pPr>
      <w:tabs>
        <w:tab w:val="center" w:pos="4680"/>
        <w:tab w:val="right" w:pos="9360"/>
      </w:tabs>
      <w:spacing w:after="0" w:line="240" w:lineRule="auto"/>
    </w:pPr>
  </w:style>
  <w:style w:type="character" w:customStyle="1" w:styleId="FooterChar1">
    <w:name w:val="Footer Char1"/>
    <w:basedOn w:val="DefaultParagraphFont"/>
    <w:link w:val="Footer"/>
    <w:uiPriority w:val="99"/>
  </w:style>
  <w:style w:type="paragraph" w:styleId="CommentText">
    <w:name w:val="annotation text"/>
    <w:basedOn w:val="Normal"/>
    <w:link w:val="CommentTextChar1"/>
    <w:uiPriority w:val="99"/>
    <w:semiHidden/>
    <w:unhideWhenUsed/>
    <w:pPr>
      <w:spacing w:line="240" w:lineRule="auto"/>
    </w:pPr>
    <w:rPr>
      <w:sz w:val="20"/>
      <w:szCs w:val="20"/>
    </w:rPr>
  </w:style>
  <w:style w:type="character" w:customStyle="1" w:styleId="CommentTextChar1">
    <w:name w:val="Comment Text Char1"/>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1">
    <w:name w:val="Comment Subject Char1"/>
    <w:basedOn w:val="CommentTextChar1"/>
    <w:uiPriority w:val="99"/>
    <w:semiHidden/>
    <w:rPr>
      <w:b/>
      <w:bCs/>
      <w:sz w:val="20"/>
      <w:szCs w:val="20"/>
    </w:rPr>
  </w:style>
  <w:style w:type="paragraph" w:styleId="BalloonText">
    <w:name w:val="Balloon Text"/>
    <w:basedOn w:val="Normal"/>
    <w:link w:val="BalloonTextChar1"/>
    <w:uiPriority w:val="99"/>
    <w:semiHidden/>
    <w:unhideWhenUsed/>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FAFE10A92542C898BFD02A9ADB06B0"/>
        <w:category>
          <w:name w:val="General"/>
          <w:gallery w:val="placeholder"/>
        </w:category>
        <w:types>
          <w:type w:val="bbPlcHdr"/>
        </w:types>
        <w:behaviors>
          <w:behavior w:val="content"/>
        </w:behaviors>
        <w:guid w:val="{37AF3833-405C-42D3-8338-AC86789790A7}"/>
      </w:docPartPr>
      <w:docPartBody>
        <w:p w:rsidR="00000000" w:rsidRDefault="00EF621F" w:rsidP="00EF621F">
          <w:pPr>
            <w:pStyle w:val="DFFAFE10A92542C898BFD02A9ADB06B0"/>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21F"/>
    <w:rsid w:val="00BF6A0B"/>
    <w:rsid w:val="00EF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FAFE10A92542C898BFD02A9ADB06B0">
    <w:name w:val="DFFAFE10A92542C898BFD02A9ADB06B0"/>
    <w:rsid w:val="00EF62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CBF68-5012-4F8A-8CF9-A9D14B4C1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9524</Words>
  <Characters>54289</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 Ann Elzerman</cp:lastModifiedBy>
  <cp:revision>2</cp:revision>
  <dcterms:created xsi:type="dcterms:W3CDTF">2021-08-25T18:51:00Z</dcterms:created>
  <dcterms:modified xsi:type="dcterms:W3CDTF">2021-08-25T18:51:00Z</dcterms:modified>
</cp:coreProperties>
</file>